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C07BA" w14:textId="47899AE2" w:rsidR="00DF3C13" w:rsidRPr="00153EEE" w:rsidRDefault="00DF3C13" w:rsidP="001B57D1">
      <w:pPr>
        <w:rPr>
          <w:rFonts w:ascii="Times New Roman" w:hAnsi="Times New Roman" w:cs="Times New Roman"/>
          <w:b/>
          <w:bCs/>
        </w:rPr>
      </w:pPr>
      <w:r w:rsidRPr="00153EEE">
        <w:rPr>
          <w:rFonts w:ascii="Times New Roman" w:hAnsi="Times New Roman" w:cs="Times New Roman"/>
          <w:b/>
          <w:bCs/>
        </w:rPr>
        <w:t xml:space="preserve">SVEUČILIŠTE U ZAGREBU </w:t>
      </w:r>
    </w:p>
    <w:p w14:paraId="10A80464" w14:textId="0E0AF8F8" w:rsidR="00DF3C13" w:rsidRPr="00153EEE" w:rsidRDefault="00DF3C13" w:rsidP="001B57D1">
      <w:pPr>
        <w:rPr>
          <w:rFonts w:ascii="Times New Roman" w:hAnsi="Times New Roman" w:cs="Times New Roman"/>
          <w:b/>
          <w:bCs/>
        </w:rPr>
      </w:pPr>
      <w:r w:rsidRPr="00153EEE">
        <w:rPr>
          <w:rFonts w:ascii="Times New Roman" w:hAnsi="Times New Roman" w:cs="Times New Roman"/>
          <w:b/>
          <w:bCs/>
        </w:rPr>
        <w:t>RUDARSKO-GEOLOŠKO-NAFTNI FAKULTET</w:t>
      </w:r>
    </w:p>
    <w:p w14:paraId="43AC40B6" w14:textId="6951CDB9" w:rsidR="00DF3C13" w:rsidRPr="00153EEE" w:rsidRDefault="00DF3C13" w:rsidP="001B57D1">
      <w:pPr>
        <w:rPr>
          <w:rFonts w:ascii="Times New Roman" w:hAnsi="Times New Roman" w:cs="Times New Roman"/>
          <w:b/>
          <w:bCs/>
        </w:rPr>
      </w:pPr>
      <w:r w:rsidRPr="00153EEE">
        <w:rPr>
          <w:rFonts w:ascii="Times New Roman" w:hAnsi="Times New Roman" w:cs="Times New Roman"/>
          <w:b/>
          <w:bCs/>
        </w:rPr>
        <w:t>OIB:</w:t>
      </w:r>
      <w:r w:rsidR="001E2918" w:rsidRPr="00153EEE">
        <w:rPr>
          <w:rFonts w:ascii="Times New Roman" w:hAnsi="Times New Roman" w:cs="Times New Roman"/>
          <w:b/>
          <w:bCs/>
        </w:rPr>
        <w:t xml:space="preserve"> 99534693762</w:t>
      </w:r>
    </w:p>
    <w:p w14:paraId="75F0D20B" w14:textId="1D03AA7B" w:rsidR="00DF3C13" w:rsidRPr="00153EEE" w:rsidRDefault="00DF3C13" w:rsidP="001B57D1">
      <w:pPr>
        <w:rPr>
          <w:rFonts w:ascii="Times New Roman" w:hAnsi="Times New Roman" w:cs="Times New Roman"/>
          <w:b/>
          <w:bCs/>
        </w:rPr>
      </w:pPr>
      <w:r w:rsidRPr="00153EEE">
        <w:rPr>
          <w:rFonts w:ascii="Times New Roman" w:hAnsi="Times New Roman" w:cs="Times New Roman"/>
          <w:b/>
          <w:bCs/>
        </w:rPr>
        <w:t>RKP:</w:t>
      </w:r>
      <w:r w:rsidR="001E2918" w:rsidRPr="00153EEE">
        <w:rPr>
          <w:rFonts w:ascii="Times New Roman" w:hAnsi="Times New Roman" w:cs="Times New Roman"/>
          <w:b/>
          <w:bCs/>
        </w:rPr>
        <w:t xml:space="preserve"> 2047</w:t>
      </w:r>
    </w:p>
    <w:p w14:paraId="76F107FC" w14:textId="77777777" w:rsidR="00DF3C13" w:rsidRPr="00153EEE" w:rsidRDefault="00DF3C13" w:rsidP="001B57D1">
      <w:pPr>
        <w:rPr>
          <w:rFonts w:ascii="Times New Roman" w:hAnsi="Times New Roman" w:cs="Times New Roman"/>
        </w:rPr>
      </w:pPr>
    </w:p>
    <w:p w14:paraId="60291165" w14:textId="77777777" w:rsidR="00DF3C13" w:rsidRPr="00153EEE" w:rsidRDefault="00DF3C13" w:rsidP="001B57D1">
      <w:pPr>
        <w:rPr>
          <w:rFonts w:ascii="Times New Roman" w:hAnsi="Times New Roman" w:cs="Times New Roman"/>
        </w:rPr>
      </w:pPr>
    </w:p>
    <w:p w14:paraId="1EF77BA1" w14:textId="77777777" w:rsidR="00DF3C13" w:rsidRPr="00153EEE" w:rsidRDefault="00DF3C13" w:rsidP="001B57D1">
      <w:pPr>
        <w:rPr>
          <w:rFonts w:ascii="Times New Roman" w:hAnsi="Times New Roman" w:cs="Times New Roman"/>
        </w:rPr>
      </w:pPr>
    </w:p>
    <w:p w14:paraId="3C0E37DE" w14:textId="77777777" w:rsidR="00DF3C13" w:rsidRPr="00153EEE" w:rsidRDefault="00DF3C13" w:rsidP="001B57D1">
      <w:pPr>
        <w:rPr>
          <w:rFonts w:ascii="Times New Roman" w:hAnsi="Times New Roman" w:cs="Times New Roman"/>
        </w:rPr>
      </w:pPr>
    </w:p>
    <w:p w14:paraId="2A945BDF" w14:textId="174E909B" w:rsidR="001B57D1" w:rsidRPr="00153EEE" w:rsidRDefault="001B57D1" w:rsidP="001E2918">
      <w:pPr>
        <w:jc w:val="center"/>
        <w:rPr>
          <w:rFonts w:ascii="Times New Roman" w:hAnsi="Times New Roman" w:cs="Times New Roman"/>
          <w:b/>
          <w:bCs/>
        </w:rPr>
      </w:pPr>
      <w:r w:rsidRPr="00153EEE">
        <w:rPr>
          <w:rFonts w:ascii="Times New Roman" w:hAnsi="Times New Roman" w:cs="Times New Roman"/>
          <w:b/>
          <w:bCs/>
        </w:rPr>
        <w:t>Obrazloženje Općeg dijela financijskog plana za razdoblje 2026. – 2028. godina</w:t>
      </w:r>
    </w:p>
    <w:p w14:paraId="18954265" w14:textId="77777777" w:rsidR="001B57D1" w:rsidRDefault="001B57D1" w:rsidP="001B57D1">
      <w:pPr>
        <w:rPr>
          <w:rFonts w:ascii="Times New Roman" w:hAnsi="Times New Roman" w:cs="Times New Roman"/>
        </w:rPr>
      </w:pPr>
    </w:p>
    <w:p w14:paraId="5DDD5FC8" w14:textId="77777777" w:rsidR="00E423FD" w:rsidRPr="00DF3C13" w:rsidRDefault="00E423FD" w:rsidP="001B57D1">
      <w:pPr>
        <w:rPr>
          <w:rFonts w:ascii="Times New Roman" w:hAnsi="Times New Roman" w:cs="Times New Roman"/>
        </w:rPr>
      </w:pPr>
    </w:p>
    <w:p w14:paraId="5BE30BBC" w14:textId="44BD87B3" w:rsidR="00E423FD" w:rsidRDefault="001B57D1" w:rsidP="00E423FD">
      <w:pPr>
        <w:pStyle w:val="Odlomakpopisa"/>
        <w:numPr>
          <w:ilvl w:val="0"/>
          <w:numId w:val="3"/>
        </w:numPr>
        <w:rPr>
          <w:rFonts w:ascii="Times New Roman" w:hAnsi="Times New Roman" w:cs="Times New Roman"/>
          <w:b/>
          <w:bCs/>
        </w:rPr>
      </w:pPr>
      <w:r w:rsidRPr="00E423FD">
        <w:rPr>
          <w:rFonts w:ascii="Times New Roman" w:hAnsi="Times New Roman" w:cs="Times New Roman"/>
          <w:b/>
          <w:bCs/>
        </w:rPr>
        <w:t>UVOD</w:t>
      </w:r>
    </w:p>
    <w:p w14:paraId="7C851B34" w14:textId="77777777" w:rsidR="00E423FD" w:rsidRPr="00E423FD" w:rsidRDefault="00E423FD" w:rsidP="00E423FD">
      <w:pPr>
        <w:pStyle w:val="Odlomakpopisa"/>
        <w:ind w:left="1065"/>
        <w:rPr>
          <w:rFonts w:ascii="Times New Roman" w:hAnsi="Times New Roman" w:cs="Times New Roman"/>
          <w:b/>
          <w:bCs/>
        </w:rPr>
      </w:pPr>
    </w:p>
    <w:p w14:paraId="558AF483" w14:textId="77777777" w:rsidR="001B57D1" w:rsidRPr="00DF3C13" w:rsidRDefault="001B57D1" w:rsidP="00021CF0">
      <w:pPr>
        <w:spacing w:line="240" w:lineRule="auto"/>
        <w:jc w:val="both"/>
        <w:rPr>
          <w:rFonts w:ascii="Times New Roman" w:hAnsi="Times New Roman" w:cs="Times New Roman"/>
        </w:rPr>
      </w:pPr>
      <w:r w:rsidRPr="00DF3C13">
        <w:rPr>
          <w:rFonts w:ascii="Times New Roman" w:hAnsi="Times New Roman" w:cs="Times New Roman"/>
        </w:rPr>
        <w:t>Rudarsko-geološko-naftni fakultet (RGNF) je visoko učilište koje, kao sastavnica Sveučilišta u Zagrebu, ustrojava i izvodi sveučilišne studije te razvija znanstveni i stručni rad u dva znanstvena područja: području tehničkih znanosti – znanstveno polje Rudarstvo, nafta i geološko inženjerstvo i području prirodnih znanosti – znanstveno polje Geologija.</w:t>
      </w:r>
    </w:p>
    <w:p w14:paraId="4ED32F9D" w14:textId="77777777" w:rsidR="001B57D1" w:rsidRPr="00DF3C13" w:rsidRDefault="001B57D1" w:rsidP="00021CF0">
      <w:pPr>
        <w:spacing w:line="240" w:lineRule="auto"/>
        <w:jc w:val="both"/>
        <w:rPr>
          <w:rFonts w:ascii="Times New Roman" w:hAnsi="Times New Roman" w:cs="Times New Roman"/>
        </w:rPr>
      </w:pPr>
      <w:r w:rsidRPr="00DF3C13">
        <w:rPr>
          <w:rFonts w:ascii="Times New Roman" w:hAnsi="Times New Roman" w:cs="Times New Roman"/>
        </w:rPr>
        <w:t>Prema Statutu, RGNF obavlja sljedeće djelatnosti:</w:t>
      </w:r>
    </w:p>
    <w:p w14:paraId="26A2E764" w14:textId="77777777" w:rsidR="001E2918" w:rsidRDefault="001E2918" w:rsidP="00021CF0">
      <w:pPr>
        <w:spacing w:after="0" w:line="240" w:lineRule="auto"/>
        <w:jc w:val="both"/>
        <w:rPr>
          <w:rFonts w:ascii="Times New Roman" w:hAnsi="Times New Roman" w:cs="Times New Roman"/>
        </w:rPr>
      </w:pPr>
      <w:r>
        <w:rPr>
          <w:rFonts w:ascii="Times New Roman" w:hAnsi="Times New Roman" w:cs="Times New Roman"/>
        </w:rPr>
        <w:t>-</w:t>
      </w:r>
      <w:r w:rsidR="001B57D1" w:rsidRPr="001E2918">
        <w:rPr>
          <w:rFonts w:ascii="Times New Roman" w:hAnsi="Times New Roman" w:cs="Times New Roman"/>
        </w:rPr>
        <w:t xml:space="preserve">visoko obrazovanje </w:t>
      </w:r>
    </w:p>
    <w:p w14:paraId="7FF4687F" w14:textId="77777777" w:rsidR="001E2918" w:rsidRDefault="001E2918" w:rsidP="00021CF0">
      <w:pPr>
        <w:spacing w:after="0" w:line="240" w:lineRule="auto"/>
        <w:jc w:val="both"/>
        <w:rPr>
          <w:rFonts w:ascii="Times New Roman" w:hAnsi="Times New Roman" w:cs="Times New Roman"/>
        </w:rPr>
      </w:pPr>
      <w:r>
        <w:rPr>
          <w:rFonts w:ascii="Times New Roman" w:hAnsi="Times New Roman" w:cs="Times New Roman"/>
        </w:rPr>
        <w:t>-</w:t>
      </w:r>
      <w:r w:rsidR="001B57D1" w:rsidRPr="001E2918">
        <w:rPr>
          <w:rFonts w:ascii="Times New Roman" w:hAnsi="Times New Roman" w:cs="Times New Roman"/>
        </w:rPr>
        <w:t xml:space="preserve">obrazovanje odraslih i ostalo obrazovanje </w:t>
      </w:r>
    </w:p>
    <w:p w14:paraId="28E8748C" w14:textId="3BFD500A" w:rsidR="001B57D1" w:rsidRPr="001E2918" w:rsidRDefault="001E2918" w:rsidP="00021CF0">
      <w:pPr>
        <w:spacing w:after="0" w:line="240" w:lineRule="auto"/>
        <w:jc w:val="both"/>
        <w:rPr>
          <w:rFonts w:ascii="Times New Roman" w:hAnsi="Times New Roman" w:cs="Times New Roman"/>
        </w:rPr>
      </w:pPr>
      <w:r>
        <w:rPr>
          <w:rFonts w:ascii="Times New Roman" w:hAnsi="Times New Roman" w:cs="Times New Roman"/>
        </w:rPr>
        <w:t>-</w:t>
      </w:r>
      <w:r w:rsidR="001B57D1" w:rsidRPr="001E2918">
        <w:rPr>
          <w:rFonts w:ascii="Times New Roman" w:hAnsi="Times New Roman" w:cs="Times New Roman"/>
        </w:rPr>
        <w:t xml:space="preserve">izdavanje knjiga </w:t>
      </w:r>
    </w:p>
    <w:p w14:paraId="78CBF134" w14:textId="5E59BA4F" w:rsidR="001B57D1" w:rsidRPr="001E2918" w:rsidRDefault="001E2918" w:rsidP="00021CF0">
      <w:pPr>
        <w:spacing w:after="0" w:line="240" w:lineRule="auto"/>
        <w:jc w:val="both"/>
        <w:rPr>
          <w:rFonts w:ascii="Times New Roman" w:hAnsi="Times New Roman" w:cs="Times New Roman"/>
        </w:rPr>
      </w:pPr>
      <w:r>
        <w:rPr>
          <w:rFonts w:ascii="Times New Roman" w:hAnsi="Times New Roman" w:cs="Times New Roman"/>
        </w:rPr>
        <w:t>-</w:t>
      </w:r>
      <w:r w:rsidR="001B57D1" w:rsidRPr="001E2918">
        <w:rPr>
          <w:rFonts w:ascii="Times New Roman" w:hAnsi="Times New Roman" w:cs="Times New Roman"/>
        </w:rPr>
        <w:t>izdavanje časopisa i periodičkih publikacija</w:t>
      </w:r>
    </w:p>
    <w:p w14:paraId="42F149A2" w14:textId="334D5160" w:rsidR="001B57D1" w:rsidRPr="001E2918" w:rsidRDefault="001E2918" w:rsidP="00021CF0">
      <w:pPr>
        <w:spacing w:after="0" w:line="240" w:lineRule="auto"/>
        <w:jc w:val="both"/>
        <w:rPr>
          <w:rFonts w:ascii="Times New Roman" w:hAnsi="Times New Roman" w:cs="Times New Roman"/>
        </w:rPr>
      </w:pPr>
      <w:r>
        <w:rPr>
          <w:rFonts w:ascii="Times New Roman" w:hAnsi="Times New Roman" w:cs="Times New Roman"/>
        </w:rPr>
        <w:t>-</w:t>
      </w:r>
      <w:r w:rsidR="001B57D1" w:rsidRPr="001E2918">
        <w:rPr>
          <w:rFonts w:ascii="Times New Roman" w:hAnsi="Times New Roman" w:cs="Times New Roman"/>
        </w:rPr>
        <w:t xml:space="preserve">rušenje građevinskih objekata </w:t>
      </w:r>
    </w:p>
    <w:p w14:paraId="3DA29B80" w14:textId="3837A033" w:rsidR="001B57D1" w:rsidRPr="001E2918" w:rsidRDefault="001E2918" w:rsidP="00021CF0">
      <w:pPr>
        <w:spacing w:after="0" w:line="240" w:lineRule="auto"/>
        <w:jc w:val="both"/>
        <w:rPr>
          <w:rFonts w:ascii="Times New Roman" w:hAnsi="Times New Roman" w:cs="Times New Roman"/>
        </w:rPr>
      </w:pPr>
      <w:r>
        <w:rPr>
          <w:rFonts w:ascii="Times New Roman" w:hAnsi="Times New Roman" w:cs="Times New Roman"/>
        </w:rPr>
        <w:t>-</w:t>
      </w:r>
      <w:r w:rsidR="001B57D1" w:rsidRPr="001E2918">
        <w:rPr>
          <w:rFonts w:ascii="Times New Roman" w:hAnsi="Times New Roman" w:cs="Times New Roman"/>
        </w:rPr>
        <w:t xml:space="preserve">pokusno bušenje i sondiranje terena </w:t>
      </w:r>
    </w:p>
    <w:p w14:paraId="22345A90" w14:textId="3ED3BA6C" w:rsidR="001B57D1" w:rsidRPr="001E2918" w:rsidRDefault="001E2918" w:rsidP="00021CF0">
      <w:pPr>
        <w:spacing w:after="0" w:line="240" w:lineRule="auto"/>
        <w:jc w:val="both"/>
        <w:rPr>
          <w:rFonts w:ascii="Times New Roman" w:hAnsi="Times New Roman" w:cs="Times New Roman"/>
        </w:rPr>
      </w:pPr>
      <w:r>
        <w:rPr>
          <w:rFonts w:ascii="Times New Roman" w:hAnsi="Times New Roman" w:cs="Times New Roman"/>
        </w:rPr>
        <w:t>-</w:t>
      </w:r>
      <w:r w:rsidR="001B57D1" w:rsidRPr="001E2918">
        <w:rPr>
          <w:rFonts w:ascii="Times New Roman" w:hAnsi="Times New Roman" w:cs="Times New Roman"/>
        </w:rPr>
        <w:t xml:space="preserve">izradu i upravljanje bazama podataka </w:t>
      </w:r>
    </w:p>
    <w:p w14:paraId="4D8310B7" w14:textId="5BA3A63D" w:rsidR="001B57D1" w:rsidRPr="001E2918" w:rsidRDefault="001E2918" w:rsidP="00021CF0">
      <w:pPr>
        <w:spacing w:after="0" w:line="240" w:lineRule="auto"/>
        <w:jc w:val="both"/>
        <w:rPr>
          <w:rFonts w:ascii="Times New Roman" w:hAnsi="Times New Roman" w:cs="Times New Roman"/>
        </w:rPr>
      </w:pPr>
      <w:r>
        <w:rPr>
          <w:rFonts w:ascii="Times New Roman" w:hAnsi="Times New Roman" w:cs="Times New Roman"/>
        </w:rPr>
        <w:t>-</w:t>
      </w:r>
      <w:r w:rsidR="001B57D1" w:rsidRPr="001E2918">
        <w:rPr>
          <w:rFonts w:ascii="Times New Roman" w:hAnsi="Times New Roman" w:cs="Times New Roman"/>
        </w:rPr>
        <w:t xml:space="preserve">istraživanje i eksperimentalni razvoj u prirodnim znanostima </w:t>
      </w:r>
    </w:p>
    <w:p w14:paraId="3825247B" w14:textId="302D464E" w:rsidR="001B57D1" w:rsidRPr="001E2918" w:rsidRDefault="001E2918" w:rsidP="00021CF0">
      <w:pPr>
        <w:spacing w:after="0" w:line="240" w:lineRule="auto"/>
        <w:jc w:val="both"/>
        <w:rPr>
          <w:rFonts w:ascii="Times New Roman" w:hAnsi="Times New Roman" w:cs="Times New Roman"/>
        </w:rPr>
      </w:pPr>
      <w:r>
        <w:rPr>
          <w:rFonts w:ascii="Times New Roman" w:hAnsi="Times New Roman" w:cs="Times New Roman"/>
        </w:rPr>
        <w:t>-</w:t>
      </w:r>
      <w:r w:rsidR="001B57D1" w:rsidRPr="001E2918">
        <w:rPr>
          <w:rFonts w:ascii="Times New Roman" w:hAnsi="Times New Roman" w:cs="Times New Roman"/>
        </w:rPr>
        <w:t xml:space="preserve">istraživanje i eksperimentalni razvoj u tehničkim znanostima </w:t>
      </w:r>
    </w:p>
    <w:p w14:paraId="7797CA97" w14:textId="76369CDA" w:rsidR="001B57D1" w:rsidRPr="001E2918" w:rsidRDefault="001E2918" w:rsidP="00021CF0">
      <w:pPr>
        <w:spacing w:after="0" w:line="240" w:lineRule="auto"/>
        <w:jc w:val="both"/>
        <w:rPr>
          <w:rFonts w:ascii="Times New Roman" w:hAnsi="Times New Roman" w:cs="Times New Roman"/>
        </w:rPr>
      </w:pPr>
      <w:r>
        <w:rPr>
          <w:rFonts w:ascii="Times New Roman" w:hAnsi="Times New Roman" w:cs="Times New Roman"/>
        </w:rPr>
        <w:t>-</w:t>
      </w:r>
      <w:r w:rsidR="001B57D1" w:rsidRPr="001E2918">
        <w:rPr>
          <w:rFonts w:ascii="Times New Roman" w:hAnsi="Times New Roman" w:cs="Times New Roman"/>
        </w:rPr>
        <w:t>arhitektonske djelatnosti i inženjerstvo te s njima povezano tehničko savjetovanje</w:t>
      </w:r>
      <w:r w:rsidR="00FF56AC">
        <w:rPr>
          <w:rFonts w:ascii="Times New Roman" w:hAnsi="Times New Roman" w:cs="Times New Roman"/>
        </w:rPr>
        <w:t xml:space="preserve">, </w:t>
      </w:r>
      <w:r w:rsidR="001B57D1" w:rsidRPr="001E2918">
        <w:rPr>
          <w:rFonts w:ascii="Times New Roman" w:hAnsi="Times New Roman" w:cs="Times New Roman"/>
        </w:rPr>
        <w:t xml:space="preserve">tehničko ispitivanje i analizu </w:t>
      </w:r>
    </w:p>
    <w:p w14:paraId="1543F187" w14:textId="53C7E830" w:rsidR="001B57D1" w:rsidRPr="001E2918" w:rsidRDefault="001E2918" w:rsidP="00021CF0">
      <w:pPr>
        <w:spacing w:after="0" w:line="240" w:lineRule="auto"/>
        <w:jc w:val="both"/>
        <w:rPr>
          <w:rFonts w:ascii="Times New Roman" w:hAnsi="Times New Roman" w:cs="Times New Roman"/>
        </w:rPr>
      </w:pPr>
      <w:r>
        <w:rPr>
          <w:rFonts w:ascii="Times New Roman" w:hAnsi="Times New Roman" w:cs="Times New Roman"/>
        </w:rPr>
        <w:t>-</w:t>
      </w:r>
      <w:r w:rsidR="001B57D1" w:rsidRPr="001E2918">
        <w:rPr>
          <w:rFonts w:ascii="Times New Roman" w:hAnsi="Times New Roman" w:cs="Times New Roman"/>
        </w:rPr>
        <w:t xml:space="preserve">djelatnost knjižnica </w:t>
      </w:r>
    </w:p>
    <w:p w14:paraId="6A958675" w14:textId="37236AA8" w:rsidR="001B57D1" w:rsidRPr="001E2918" w:rsidRDefault="001E2918" w:rsidP="00021CF0">
      <w:pPr>
        <w:spacing w:after="0" w:line="240" w:lineRule="auto"/>
        <w:jc w:val="both"/>
        <w:rPr>
          <w:rFonts w:ascii="Times New Roman" w:hAnsi="Times New Roman" w:cs="Times New Roman"/>
        </w:rPr>
      </w:pPr>
      <w:r>
        <w:rPr>
          <w:rFonts w:ascii="Times New Roman" w:hAnsi="Times New Roman" w:cs="Times New Roman"/>
        </w:rPr>
        <w:t>-</w:t>
      </w:r>
      <w:r w:rsidR="001B57D1" w:rsidRPr="001E2918">
        <w:rPr>
          <w:rFonts w:ascii="Times New Roman" w:hAnsi="Times New Roman" w:cs="Times New Roman"/>
        </w:rPr>
        <w:t>stručne poslove zaštite okoliša</w:t>
      </w:r>
    </w:p>
    <w:p w14:paraId="05541C1C" w14:textId="64BF741D" w:rsidR="001B57D1" w:rsidRPr="001E2918" w:rsidRDefault="001E2918" w:rsidP="00021CF0">
      <w:pPr>
        <w:spacing w:after="0" w:line="240" w:lineRule="auto"/>
        <w:jc w:val="both"/>
        <w:rPr>
          <w:rFonts w:ascii="Times New Roman" w:hAnsi="Times New Roman" w:cs="Times New Roman"/>
        </w:rPr>
      </w:pPr>
      <w:r>
        <w:rPr>
          <w:rFonts w:ascii="Times New Roman" w:hAnsi="Times New Roman" w:cs="Times New Roman"/>
        </w:rPr>
        <w:t>-</w:t>
      </w:r>
      <w:r w:rsidR="001B57D1" w:rsidRPr="001E2918">
        <w:rPr>
          <w:rFonts w:ascii="Times New Roman" w:hAnsi="Times New Roman" w:cs="Times New Roman"/>
        </w:rPr>
        <w:t>hidrogeološka istraživanja i geofizička istraživanja</w:t>
      </w:r>
    </w:p>
    <w:p w14:paraId="5C7BA168" w14:textId="77777777" w:rsidR="00FF56AC" w:rsidRDefault="001E2918" w:rsidP="00021CF0">
      <w:pPr>
        <w:spacing w:after="0" w:line="240" w:lineRule="auto"/>
        <w:jc w:val="both"/>
        <w:rPr>
          <w:rFonts w:ascii="Times New Roman" w:hAnsi="Times New Roman" w:cs="Times New Roman"/>
        </w:rPr>
      </w:pPr>
      <w:r>
        <w:rPr>
          <w:rFonts w:ascii="Times New Roman" w:hAnsi="Times New Roman" w:cs="Times New Roman"/>
        </w:rPr>
        <w:t>-</w:t>
      </w:r>
      <w:r w:rsidR="001B57D1" w:rsidRPr="001E2918">
        <w:rPr>
          <w:rFonts w:ascii="Times New Roman" w:hAnsi="Times New Roman" w:cs="Times New Roman"/>
        </w:rPr>
        <w:t>vještačenja iz područja zaštite okoliša, procjene utjecaja na okoliš, geologije, mineralnih sirovina i rudarstva</w:t>
      </w:r>
    </w:p>
    <w:p w14:paraId="6616E02C" w14:textId="77777777" w:rsidR="00FF56AC" w:rsidRDefault="00FF56AC" w:rsidP="00021CF0">
      <w:pPr>
        <w:spacing w:after="0" w:line="240" w:lineRule="auto"/>
        <w:jc w:val="both"/>
        <w:rPr>
          <w:rFonts w:ascii="Times New Roman" w:hAnsi="Times New Roman" w:cs="Times New Roman"/>
        </w:rPr>
      </w:pPr>
      <w:r>
        <w:rPr>
          <w:rFonts w:ascii="Times New Roman" w:hAnsi="Times New Roman" w:cs="Times New Roman"/>
        </w:rPr>
        <w:t>-</w:t>
      </w:r>
      <w:r w:rsidR="001B57D1" w:rsidRPr="001E2918">
        <w:rPr>
          <w:rFonts w:ascii="Times New Roman" w:hAnsi="Times New Roman" w:cs="Times New Roman"/>
        </w:rPr>
        <w:t>izradu dokumentacije o rezervama mineralnih sirovina i/ili dokumentacije o građi, obliku, veličini i obujmu geoloških struktura pogodnih za skladištenje ugljikovodika i trajno zbrinjavanje plinova</w:t>
      </w:r>
    </w:p>
    <w:p w14:paraId="3DFA8F26" w14:textId="77777777" w:rsidR="00FF56AC" w:rsidRDefault="00FF56AC" w:rsidP="00021CF0">
      <w:pPr>
        <w:spacing w:after="0" w:line="240" w:lineRule="auto"/>
        <w:jc w:val="both"/>
        <w:rPr>
          <w:rFonts w:ascii="Times New Roman" w:hAnsi="Times New Roman" w:cs="Times New Roman"/>
        </w:rPr>
      </w:pPr>
      <w:r>
        <w:rPr>
          <w:rFonts w:ascii="Times New Roman" w:hAnsi="Times New Roman" w:cs="Times New Roman"/>
        </w:rPr>
        <w:t>-</w:t>
      </w:r>
      <w:r w:rsidR="001B57D1" w:rsidRPr="001E2918">
        <w:rPr>
          <w:rFonts w:ascii="Times New Roman" w:hAnsi="Times New Roman" w:cs="Times New Roman"/>
        </w:rPr>
        <w:t>izradu rudarskih projekata istraživanja i eksploatacije mineralnih sirovina</w:t>
      </w:r>
    </w:p>
    <w:p w14:paraId="077DB98E" w14:textId="505273A1" w:rsidR="001B57D1" w:rsidRPr="001E2918" w:rsidRDefault="00FF56AC" w:rsidP="00021CF0">
      <w:pPr>
        <w:spacing w:after="0" w:line="240" w:lineRule="auto"/>
        <w:jc w:val="both"/>
        <w:rPr>
          <w:rFonts w:ascii="Times New Roman" w:hAnsi="Times New Roman" w:cs="Times New Roman"/>
        </w:rPr>
      </w:pPr>
      <w:r>
        <w:rPr>
          <w:rFonts w:ascii="Times New Roman" w:hAnsi="Times New Roman" w:cs="Times New Roman"/>
        </w:rPr>
        <w:t>-</w:t>
      </w:r>
      <w:r w:rsidR="001B57D1" w:rsidRPr="001E2918">
        <w:rPr>
          <w:rFonts w:ascii="Times New Roman" w:hAnsi="Times New Roman" w:cs="Times New Roman"/>
        </w:rPr>
        <w:t>djelatnost snimanja iz zraka</w:t>
      </w:r>
    </w:p>
    <w:p w14:paraId="7D443A06" w14:textId="3529F483" w:rsidR="001B57D1" w:rsidRPr="001E2918" w:rsidRDefault="00FF56AC" w:rsidP="00021CF0">
      <w:pPr>
        <w:spacing w:after="0" w:line="240" w:lineRule="auto"/>
        <w:jc w:val="both"/>
        <w:rPr>
          <w:rFonts w:ascii="Times New Roman" w:hAnsi="Times New Roman" w:cs="Times New Roman"/>
        </w:rPr>
      </w:pPr>
      <w:r>
        <w:rPr>
          <w:rFonts w:ascii="Times New Roman" w:hAnsi="Times New Roman" w:cs="Times New Roman"/>
        </w:rPr>
        <w:t>-</w:t>
      </w:r>
      <w:r w:rsidR="001B57D1" w:rsidRPr="001E2918">
        <w:rPr>
          <w:rFonts w:ascii="Times New Roman" w:hAnsi="Times New Roman" w:cs="Times New Roman"/>
        </w:rPr>
        <w:t>izrada ekonomsko – financijskih analiza (iz područja gospodarenja mineralnim sirovinama)</w:t>
      </w:r>
    </w:p>
    <w:p w14:paraId="7438B95B" w14:textId="55AF8DFB" w:rsidR="00FF56AC" w:rsidRDefault="00FF56AC" w:rsidP="00021CF0">
      <w:pPr>
        <w:spacing w:after="0" w:line="240" w:lineRule="auto"/>
        <w:jc w:val="both"/>
        <w:rPr>
          <w:rFonts w:ascii="Times New Roman" w:hAnsi="Times New Roman" w:cs="Times New Roman"/>
        </w:rPr>
      </w:pPr>
      <w:r>
        <w:rPr>
          <w:rFonts w:ascii="Times New Roman" w:hAnsi="Times New Roman" w:cs="Times New Roman"/>
        </w:rPr>
        <w:lastRenderedPageBreak/>
        <w:t>-</w:t>
      </w:r>
      <w:r w:rsidR="001B57D1" w:rsidRPr="001E2918">
        <w:rPr>
          <w:rFonts w:ascii="Times New Roman" w:hAnsi="Times New Roman" w:cs="Times New Roman"/>
        </w:rPr>
        <w:t>organizacija konferencija i znanstvenih i stručnih skupova.</w:t>
      </w:r>
    </w:p>
    <w:p w14:paraId="0E24118E" w14:textId="77777777" w:rsidR="00FF56AC" w:rsidRPr="001E2918" w:rsidRDefault="00FF56AC" w:rsidP="00021CF0">
      <w:pPr>
        <w:spacing w:after="0" w:line="240" w:lineRule="auto"/>
        <w:rPr>
          <w:rFonts w:ascii="Times New Roman" w:hAnsi="Times New Roman" w:cs="Times New Roman"/>
        </w:rPr>
      </w:pPr>
    </w:p>
    <w:p w14:paraId="7E5F1CF7" w14:textId="77777777" w:rsidR="001B57D1" w:rsidRPr="00DF3C13" w:rsidRDefault="001B57D1" w:rsidP="00021CF0">
      <w:pPr>
        <w:spacing w:line="240" w:lineRule="auto"/>
        <w:jc w:val="both"/>
        <w:rPr>
          <w:rFonts w:ascii="Times New Roman" w:hAnsi="Times New Roman" w:cs="Times New Roman"/>
        </w:rPr>
      </w:pPr>
      <w:r w:rsidRPr="00DF3C13">
        <w:rPr>
          <w:rFonts w:ascii="Times New Roman" w:hAnsi="Times New Roman" w:cs="Times New Roman"/>
        </w:rPr>
        <w:t xml:space="preserve">Upravu Fakulteta čine dekan, tri prodekana i Fakultetsko vijeće. </w:t>
      </w:r>
    </w:p>
    <w:p w14:paraId="21E736C1" w14:textId="77777777" w:rsidR="001B57D1" w:rsidRPr="00DF3C13" w:rsidRDefault="001B57D1" w:rsidP="00021CF0">
      <w:pPr>
        <w:spacing w:line="240" w:lineRule="auto"/>
        <w:jc w:val="both"/>
        <w:rPr>
          <w:rFonts w:ascii="Times New Roman" w:hAnsi="Times New Roman" w:cs="Times New Roman"/>
        </w:rPr>
      </w:pPr>
      <w:r w:rsidRPr="00DF3C13">
        <w:rPr>
          <w:rFonts w:ascii="Times New Roman" w:hAnsi="Times New Roman" w:cs="Times New Roman"/>
        </w:rPr>
        <w:t xml:space="preserve">Dekan zastupa i predstavlja Fakultet, donosi poslovne odluke sukladno propisima, predsjedava Fakultetskom vijeću i provodi njegove odluke, provodi odluke Senata, vijeća područja Sveučilišta te obavlja i druge poslove utvrđene zakonom, Statutom Sveučilišta u Zagrebu, Statutom Rudarsko-geološko-naftnog fakulteta te drugim općim aktima Sveučilišta i Fakulteta. Dekanu u radu pomažu tri prodekana. </w:t>
      </w:r>
    </w:p>
    <w:p w14:paraId="3E2C49E1" w14:textId="77777777" w:rsidR="001B57D1" w:rsidRPr="00DF3C13" w:rsidRDefault="001B57D1" w:rsidP="00021CF0">
      <w:pPr>
        <w:spacing w:line="240" w:lineRule="auto"/>
        <w:jc w:val="both"/>
        <w:rPr>
          <w:rFonts w:ascii="Times New Roman" w:hAnsi="Times New Roman" w:cs="Times New Roman"/>
        </w:rPr>
      </w:pPr>
      <w:r w:rsidRPr="00DF3C13">
        <w:rPr>
          <w:rFonts w:ascii="Times New Roman" w:hAnsi="Times New Roman" w:cs="Times New Roman"/>
        </w:rPr>
        <w:t>Fakultetsko vijeće je stručno vijeće Fakulteta koje čine svi nastavnici izabrani u znanstveno-nastavna i nastavna zvanja, predstavnici suradnika i stručnih suradnika te predstavnici studenata preddiplomskih, diplomskih i poslijediplomskih studija. Fakultetsko vijeće donosi Statut i ostale opće akte Fakulteta, bira dekana i prodekane, pokreće i provodi izbore i reizbore u znanstvena, znanstveno-nastavna, nastavna i suradnička radna mjesta, donosi proračun i završni račun Fakulteta, odlučuje o svim pitanjima vezanim za nastavnu, znanstvenu i stručnu djelatnost Fakulteta te obavlja druge poslove utvrđene zakonom, Statutom Sveučilišta u Zagrebu, Statutom Rudarsko-geološko-naftnog fakulteta te drugim općim aktima Sveučilišta i Fakulteta.</w:t>
      </w:r>
    </w:p>
    <w:p w14:paraId="441B0651" w14:textId="77777777" w:rsidR="001B57D1" w:rsidRPr="00DF3C13" w:rsidRDefault="001B57D1" w:rsidP="00021CF0">
      <w:pPr>
        <w:spacing w:line="240" w:lineRule="auto"/>
        <w:jc w:val="both"/>
        <w:rPr>
          <w:rFonts w:ascii="Times New Roman" w:hAnsi="Times New Roman" w:cs="Times New Roman"/>
        </w:rPr>
      </w:pPr>
    </w:p>
    <w:p w14:paraId="1180C8CE" w14:textId="3A1D54EC" w:rsidR="001B57D1" w:rsidRPr="00DF3C13" w:rsidRDefault="001B57D1" w:rsidP="00021CF0">
      <w:pPr>
        <w:spacing w:line="240" w:lineRule="auto"/>
        <w:jc w:val="both"/>
        <w:rPr>
          <w:rFonts w:ascii="Times New Roman" w:hAnsi="Times New Roman" w:cs="Times New Roman"/>
        </w:rPr>
      </w:pPr>
      <w:r w:rsidRPr="00DF3C13">
        <w:rPr>
          <w:rFonts w:ascii="Times New Roman" w:hAnsi="Times New Roman" w:cs="Times New Roman"/>
        </w:rPr>
        <w:t>Znanstveno-nastavna i stručna djelatnost RGN fakulteta provodi se u sedam zavoda i jednoj katedri:</w:t>
      </w:r>
    </w:p>
    <w:p w14:paraId="14A4507E" w14:textId="77777777" w:rsidR="001B57D1" w:rsidRPr="00DF3C13" w:rsidRDefault="001B57D1" w:rsidP="00021CF0">
      <w:pPr>
        <w:spacing w:line="240" w:lineRule="auto"/>
        <w:jc w:val="both"/>
        <w:rPr>
          <w:rFonts w:ascii="Times New Roman" w:hAnsi="Times New Roman" w:cs="Times New Roman"/>
        </w:rPr>
      </w:pPr>
      <w:r w:rsidRPr="00DF3C13">
        <w:rPr>
          <w:rFonts w:ascii="Times New Roman" w:hAnsi="Times New Roman" w:cs="Times New Roman"/>
        </w:rPr>
        <w:t>-</w:t>
      </w:r>
      <w:r w:rsidRPr="00DF3C13">
        <w:rPr>
          <w:rFonts w:ascii="Times New Roman" w:hAnsi="Times New Roman" w:cs="Times New Roman"/>
        </w:rPr>
        <w:tab/>
        <w:t>Zavod za rudarstvo i geotehniku,</w:t>
      </w:r>
    </w:p>
    <w:p w14:paraId="7EB0BA73" w14:textId="77777777" w:rsidR="001B57D1" w:rsidRPr="00DF3C13" w:rsidRDefault="001B57D1" w:rsidP="00021CF0">
      <w:pPr>
        <w:spacing w:line="240" w:lineRule="auto"/>
        <w:jc w:val="both"/>
        <w:rPr>
          <w:rFonts w:ascii="Times New Roman" w:hAnsi="Times New Roman" w:cs="Times New Roman"/>
        </w:rPr>
      </w:pPr>
      <w:r w:rsidRPr="00DF3C13">
        <w:rPr>
          <w:rFonts w:ascii="Times New Roman" w:hAnsi="Times New Roman" w:cs="Times New Roman"/>
        </w:rPr>
        <w:t>-</w:t>
      </w:r>
      <w:r w:rsidRPr="00DF3C13">
        <w:rPr>
          <w:rFonts w:ascii="Times New Roman" w:hAnsi="Times New Roman" w:cs="Times New Roman"/>
        </w:rPr>
        <w:tab/>
        <w:t>Zavod za geofizička istraživanja i rudarska mjerenja,</w:t>
      </w:r>
    </w:p>
    <w:p w14:paraId="5CEDD552" w14:textId="77777777" w:rsidR="001B57D1" w:rsidRPr="00DF3C13" w:rsidRDefault="001B57D1" w:rsidP="00021CF0">
      <w:pPr>
        <w:spacing w:line="240" w:lineRule="auto"/>
        <w:jc w:val="both"/>
        <w:rPr>
          <w:rFonts w:ascii="Times New Roman" w:hAnsi="Times New Roman" w:cs="Times New Roman"/>
        </w:rPr>
      </w:pPr>
      <w:r w:rsidRPr="00DF3C13">
        <w:rPr>
          <w:rFonts w:ascii="Times New Roman" w:hAnsi="Times New Roman" w:cs="Times New Roman"/>
        </w:rPr>
        <w:t>-</w:t>
      </w:r>
      <w:r w:rsidRPr="00DF3C13">
        <w:rPr>
          <w:rFonts w:ascii="Times New Roman" w:hAnsi="Times New Roman" w:cs="Times New Roman"/>
        </w:rPr>
        <w:tab/>
        <w:t>Zavod za geologiju i geološko inženjerstvo,</w:t>
      </w:r>
    </w:p>
    <w:p w14:paraId="2B1D9B42" w14:textId="77777777" w:rsidR="001B57D1" w:rsidRPr="00DF3C13" w:rsidRDefault="001B57D1" w:rsidP="00021CF0">
      <w:pPr>
        <w:spacing w:line="240" w:lineRule="auto"/>
        <w:jc w:val="both"/>
        <w:rPr>
          <w:rFonts w:ascii="Times New Roman" w:hAnsi="Times New Roman" w:cs="Times New Roman"/>
        </w:rPr>
      </w:pPr>
      <w:r w:rsidRPr="00DF3C13">
        <w:rPr>
          <w:rFonts w:ascii="Times New Roman" w:hAnsi="Times New Roman" w:cs="Times New Roman"/>
        </w:rPr>
        <w:t>-</w:t>
      </w:r>
      <w:r w:rsidRPr="00DF3C13">
        <w:rPr>
          <w:rFonts w:ascii="Times New Roman" w:hAnsi="Times New Roman" w:cs="Times New Roman"/>
        </w:rPr>
        <w:tab/>
        <w:t>Zavod za mineralogiju, petrologiju i mineralne sirovine,</w:t>
      </w:r>
    </w:p>
    <w:p w14:paraId="29D9FF1B" w14:textId="77777777" w:rsidR="001B57D1" w:rsidRPr="00DF3C13" w:rsidRDefault="001B57D1" w:rsidP="00021CF0">
      <w:pPr>
        <w:spacing w:line="240" w:lineRule="auto"/>
        <w:jc w:val="both"/>
        <w:rPr>
          <w:rFonts w:ascii="Times New Roman" w:hAnsi="Times New Roman" w:cs="Times New Roman"/>
        </w:rPr>
      </w:pPr>
      <w:r w:rsidRPr="00DF3C13">
        <w:rPr>
          <w:rFonts w:ascii="Times New Roman" w:hAnsi="Times New Roman" w:cs="Times New Roman"/>
        </w:rPr>
        <w:t>-</w:t>
      </w:r>
      <w:r w:rsidRPr="00DF3C13">
        <w:rPr>
          <w:rFonts w:ascii="Times New Roman" w:hAnsi="Times New Roman" w:cs="Times New Roman"/>
        </w:rPr>
        <w:tab/>
        <w:t>Zavod za naftno-plinsko inženjerstvo i energetiku,</w:t>
      </w:r>
    </w:p>
    <w:p w14:paraId="2B1C7744" w14:textId="77777777" w:rsidR="001B57D1" w:rsidRPr="00DF3C13" w:rsidRDefault="001B57D1" w:rsidP="00021CF0">
      <w:pPr>
        <w:spacing w:line="240" w:lineRule="auto"/>
        <w:jc w:val="both"/>
        <w:rPr>
          <w:rFonts w:ascii="Times New Roman" w:hAnsi="Times New Roman" w:cs="Times New Roman"/>
        </w:rPr>
      </w:pPr>
      <w:r w:rsidRPr="00DF3C13">
        <w:rPr>
          <w:rFonts w:ascii="Times New Roman" w:hAnsi="Times New Roman" w:cs="Times New Roman"/>
        </w:rPr>
        <w:t>-</w:t>
      </w:r>
      <w:r w:rsidRPr="00DF3C13">
        <w:rPr>
          <w:rFonts w:ascii="Times New Roman" w:hAnsi="Times New Roman" w:cs="Times New Roman"/>
        </w:rPr>
        <w:tab/>
        <w:t>Zavod za kemiju,</w:t>
      </w:r>
    </w:p>
    <w:p w14:paraId="7E1837FA" w14:textId="77777777" w:rsidR="001B57D1" w:rsidRPr="00DF3C13" w:rsidRDefault="001B57D1" w:rsidP="00021CF0">
      <w:pPr>
        <w:spacing w:line="240" w:lineRule="auto"/>
        <w:jc w:val="both"/>
        <w:rPr>
          <w:rFonts w:ascii="Times New Roman" w:hAnsi="Times New Roman" w:cs="Times New Roman"/>
        </w:rPr>
      </w:pPr>
      <w:r w:rsidRPr="00DF3C13">
        <w:rPr>
          <w:rFonts w:ascii="Times New Roman" w:hAnsi="Times New Roman" w:cs="Times New Roman"/>
        </w:rPr>
        <w:t>-</w:t>
      </w:r>
      <w:r w:rsidRPr="00DF3C13">
        <w:rPr>
          <w:rFonts w:ascii="Times New Roman" w:hAnsi="Times New Roman" w:cs="Times New Roman"/>
        </w:rPr>
        <w:tab/>
        <w:t>Zavod za matematiku, informatiku i nacrtnu geometriju,</w:t>
      </w:r>
    </w:p>
    <w:p w14:paraId="6426E7E0" w14:textId="6CBC30BA" w:rsidR="001B57D1" w:rsidRDefault="001B57D1" w:rsidP="00021CF0">
      <w:pPr>
        <w:spacing w:line="240" w:lineRule="auto"/>
        <w:jc w:val="both"/>
        <w:rPr>
          <w:rFonts w:ascii="Times New Roman" w:hAnsi="Times New Roman" w:cs="Times New Roman"/>
        </w:rPr>
      </w:pPr>
      <w:r w:rsidRPr="00DF3C13">
        <w:rPr>
          <w:rFonts w:ascii="Times New Roman" w:hAnsi="Times New Roman" w:cs="Times New Roman"/>
        </w:rPr>
        <w:t>-</w:t>
      </w:r>
      <w:r w:rsidRPr="00DF3C13">
        <w:rPr>
          <w:rFonts w:ascii="Times New Roman" w:hAnsi="Times New Roman" w:cs="Times New Roman"/>
        </w:rPr>
        <w:tab/>
        <w:t>Katedra za zajedničke nastavne predmete</w:t>
      </w:r>
    </w:p>
    <w:p w14:paraId="2843DCC8" w14:textId="77777777" w:rsidR="00FF56AC" w:rsidRPr="00DF3C13" w:rsidRDefault="00FF56AC" w:rsidP="00021CF0">
      <w:pPr>
        <w:spacing w:line="240" w:lineRule="auto"/>
        <w:jc w:val="both"/>
        <w:rPr>
          <w:rFonts w:ascii="Times New Roman" w:hAnsi="Times New Roman" w:cs="Times New Roman"/>
        </w:rPr>
      </w:pPr>
    </w:p>
    <w:p w14:paraId="138E3D49" w14:textId="7093CCA9" w:rsidR="001B57D1" w:rsidRPr="00DF3C13" w:rsidRDefault="001B57D1" w:rsidP="00021CF0">
      <w:pPr>
        <w:spacing w:line="240" w:lineRule="auto"/>
        <w:jc w:val="both"/>
        <w:rPr>
          <w:rFonts w:ascii="Times New Roman" w:hAnsi="Times New Roman" w:cs="Times New Roman"/>
        </w:rPr>
      </w:pPr>
      <w:r w:rsidRPr="00DF3C13">
        <w:rPr>
          <w:rFonts w:ascii="Times New Roman" w:hAnsi="Times New Roman" w:cs="Times New Roman"/>
        </w:rPr>
        <w:t>Temeljne ustrojbene jedinice Fakulteta su, osim zavoda, Centar informacijske potpore, Knjižnica, Tajništvo i Računovodstvo.</w:t>
      </w:r>
    </w:p>
    <w:p w14:paraId="52D1E51F" w14:textId="77777777" w:rsidR="001B57D1" w:rsidRPr="00DF3C13" w:rsidRDefault="001B57D1" w:rsidP="00021CF0">
      <w:pPr>
        <w:spacing w:line="240" w:lineRule="auto"/>
        <w:jc w:val="both"/>
        <w:rPr>
          <w:rFonts w:ascii="Times New Roman" w:hAnsi="Times New Roman" w:cs="Times New Roman"/>
        </w:rPr>
      </w:pPr>
      <w:r w:rsidRPr="00DF3C13">
        <w:rPr>
          <w:rFonts w:ascii="Times New Roman" w:hAnsi="Times New Roman" w:cs="Times New Roman"/>
        </w:rPr>
        <w:t xml:space="preserve">U akademskoj godini 2025./2026. ukupno je upisano 352 studenta na prijediplomske studije i 129 studenta na diplomske studije, odnosno ukupno 481 upisanih. </w:t>
      </w:r>
    </w:p>
    <w:p w14:paraId="62B8F4E1" w14:textId="40E4645C" w:rsidR="001B57D1" w:rsidRPr="00DF3C13" w:rsidRDefault="001B57D1" w:rsidP="00021CF0">
      <w:pPr>
        <w:spacing w:line="240" w:lineRule="auto"/>
        <w:jc w:val="both"/>
        <w:rPr>
          <w:rFonts w:ascii="Times New Roman" w:hAnsi="Times New Roman" w:cs="Times New Roman"/>
        </w:rPr>
      </w:pPr>
      <w:r w:rsidRPr="00DF3C13">
        <w:rPr>
          <w:rFonts w:ascii="Times New Roman" w:hAnsi="Times New Roman" w:cs="Times New Roman"/>
        </w:rPr>
        <w:t>Na doktorskom studiju upisano je 36 studenata.</w:t>
      </w:r>
    </w:p>
    <w:p w14:paraId="04C628B4" w14:textId="52E341DA" w:rsidR="001B57D1" w:rsidRPr="00DF3C13" w:rsidRDefault="001B57D1" w:rsidP="00021CF0">
      <w:pPr>
        <w:spacing w:line="240" w:lineRule="auto"/>
        <w:jc w:val="both"/>
        <w:rPr>
          <w:rFonts w:ascii="Times New Roman" w:hAnsi="Times New Roman" w:cs="Times New Roman"/>
        </w:rPr>
      </w:pPr>
      <w:r w:rsidRPr="00DF3C13">
        <w:rPr>
          <w:rFonts w:ascii="Times New Roman" w:hAnsi="Times New Roman" w:cs="Times New Roman"/>
        </w:rPr>
        <w:t xml:space="preserve">Na RGNF-u je trenutačno zaposleno ukupno 168 djelatnika: 73 u znanstveno-nastavnim radnim mjestima, </w:t>
      </w:r>
      <w:r w:rsidRPr="00D45B5B">
        <w:rPr>
          <w:rFonts w:ascii="Times New Roman" w:hAnsi="Times New Roman" w:cs="Times New Roman"/>
        </w:rPr>
        <w:t>22 djelatnika u suradničkim</w:t>
      </w:r>
      <w:r w:rsidRPr="00DF3C13">
        <w:rPr>
          <w:rFonts w:ascii="Times New Roman" w:hAnsi="Times New Roman" w:cs="Times New Roman"/>
        </w:rPr>
        <w:t xml:space="preserve"> radnim mjestima (asistenti i viši asistenti), 4 u nastavnim radnim mjestima (viši predavači), a 69 djelatnik pripada nenastavnom osoblju.</w:t>
      </w:r>
    </w:p>
    <w:p w14:paraId="3D76CEC1" w14:textId="091C3AA6" w:rsidR="001B57D1" w:rsidRPr="00DF3C13" w:rsidRDefault="001B57D1" w:rsidP="00021CF0">
      <w:pPr>
        <w:spacing w:line="240" w:lineRule="auto"/>
        <w:jc w:val="both"/>
        <w:rPr>
          <w:rFonts w:ascii="Times New Roman" w:hAnsi="Times New Roman" w:cs="Times New Roman"/>
        </w:rPr>
      </w:pPr>
      <w:r w:rsidRPr="00DF3C13">
        <w:rPr>
          <w:rFonts w:ascii="Times New Roman" w:hAnsi="Times New Roman" w:cs="Times New Roman"/>
        </w:rPr>
        <w:t xml:space="preserve">Ukupna površina prostora koji se na Fakultetu koristi jest 6.934,1 m2, od čega 4038 m2 otpada na predavaonice, laboratorije/praktikume koji se koriste u nastavi, nastavničke kabinete i knjižnicu. </w:t>
      </w:r>
    </w:p>
    <w:p w14:paraId="11E69A75" w14:textId="6D229430" w:rsidR="001B57D1" w:rsidRPr="00DF3C13" w:rsidRDefault="001B57D1" w:rsidP="00021CF0">
      <w:pPr>
        <w:spacing w:line="240" w:lineRule="auto"/>
        <w:jc w:val="both"/>
        <w:rPr>
          <w:rFonts w:ascii="Times New Roman" w:hAnsi="Times New Roman" w:cs="Times New Roman"/>
        </w:rPr>
      </w:pPr>
      <w:r w:rsidRPr="00DF3C13">
        <w:rPr>
          <w:rFonts w:ascii="Times New Roman" w:hAnsi="Times New Roman" w:cs="Times New Roman"/>
        </w:rPr>
        <w:lastRenderedPageBreak/>
        <w:t xml:space="preserve">Ukupni prihodi za 2026. su planirani u iznosu od </w:t>
      </w:r>
      <w:r w:rsidR="00804851">
        <w:rPr>
          <w:rFonts w:ascii="Times New Roman" w:hAnsi="Times New Roman" w:cs="Times New Roman"/>
        </w:rPr>
        <w:t>10.</w:t>
      </w:r>
      <w:r w:rsidR="00F14D8D">
        <w:rPr>
          <w:rFonts w:ascii="Times New Roman" w:hAnsi="Times New Roman" w:cs="Times New Roman"/>
        </w:rPr>
        <w:t>885.511</w:t>
      </w:r>
      <w:r w:rsidRPr="00DF3C13">
        <w:rPr>
          <w:rFonts w:ascii="Times New Roman" w:hAnsi="Times New Roman" w:cs="Times New Roman"/>
        </w:rPr>
        <w:t xml:space="preserve"> eura, a rashodi su planirani u iznosu od </w:t>
      </w:r>
      <w:r w:rsidR="00F14D8D">
        <w:rPr>
          <w:rFonts w:ascii="Times New Roman" w:hAnsi="Times New Roman" w:cs="Times New Roman"/>
        </w:rPr>
        <w:t>10.919.951</w:t>
      </w:r>
      <w:r w:rsidRPr="00DF3C13">
        <w:rPr>
          <w:rFonts w:ascii="Times New Roman" w:hAnsi="Times New Roman" w:cs="Times New Roman"/>
        </w:rPr>
        <w:t xml:space="preserve"> eura. </w:t>
      </w:r>
      <w:r w:rsidR="00F14D8D">
        <w:rPr>
          <w:rFonts w:ascii="Times New Roman" w:hAnsi="Times New Roman" w:cs="Times New Roman"/>
        </w:rPr>
        <w:t>Manj</w:t>
      </w:r>
      <w:r w:rsidRPr="00DF3C13">
        <w:rPr>
          <w:rFonts w:ascii="Times New Roman" w:hAnsi="Times New Roman" w:cs="Times New Roman"/>
        </w:rPr>
        <w:t xml:space="preserve">ak je planiran u iznosu od </w:t>
      </w:r>
      <w:r w:rsidR="00F14D8D">
        <w:rPr>
          <w:rFonts w:ascii="Times New Roman" w:hAnsi="Times New Roman" w:cs="Times New Roman"/>
        </w:rPr>
        <w:t>34.440</w:t>
      </w:r>
      <w:r w:rsidRPr="00DF3C13">
        <w:rPr>
          <w:rFonts w:ascii="Times New Roman" w:hAnsi="Times New Roman" w:cs="Times New Roman"/>
        </w:rPr>
        <w:t xml:space="preserve"> eura</w:t>
      </w:r>
      <w:r w:rsidR="009039BF">
        <w:rPr>
          <w:rFonts w:ascii="Times New Roman" w:hAnsi="Times New Roman" w:cs="Times New Roman"/>
        </w:rPr>
        <w:t xml:space="preserve"> koji je </w:t>
      </w:r>
      <w:r w:rsidR="00BE1234">
        <w:rPr>
          <w:rFonts w:ascii="Times New Roman" w:hAnsi="Times New Roman" w:cs="Times New Roman"/>
        </w:rPr>
        <w:t xml:space="preserve">rezultat  </w:t>
      </w:r>
      <w:r w:rsidR="009039BF">
        <w:rPr>
          <w:rFonts w:ascii="Times New Roman" w:hAnsi="Times New Roman" w:cs="Times New Roman"/>
        </w:rPr>
        <w:t xml:space="preserve">dinamike </w:t>
      </w:r>
      <w:r w:rsidR="00BE1234">
        <w:rPr>
          <w:rFonts w:ascii="Times New Roman" w:hAnsi="Times New Roman" w:cs="Times New Roman"/>
        </w:rPr>
        <w:t>uplata prihoda po projektima</w:t>
      </w:r>
      <w:r w:rsidRPr="00DF3C13">
        <w:rPr>
          <w:rFonts w:ascii="Times New Roman" w:hAnsi="Times New Roman" w:cs="Times New Roman"/>
        </w:rPr>
        <w:t>.</w:t>
      </w:r>
    </w:p>
    <w:p w14:paraId="2693DDA4" w14:textId="77777777" w:rsidR="001B57D1" w:rsidRPr="00DF3C13" w:rsidRDefault="001B57D1" w:rsidP="00021CF0">
      <w:pPr>
        <w:spacing w:line="240" w:lineRule="auto"/>
        <w:rPr>
          <w:rFonts w:ascii="Times New Roman" w:hAnsi="Times New Roman" w:cs="Times New Roman"/>
        </w:rPr>
      </w:pPr>
    </w:p>
    <w:p w14:paraId="11AAA350" w14:textId="77777777" w:rsidR="001B57D1" w:rsidRPr="00DF3C13" w:rsidRDefault="001B57D1" w:rsidP="00021CF0">
      <w:pPr>
        <w:spacing w:line="240" w:lineRule="auto"/>
        <w:rPr>
          <w:rFonts w:ascii="Times New Roman" w:hAnsi="Times New Roman" w:cs="Times New Roman"/>
        </w:rPr>
      </w:pPr>
      <w:r w:rsidRPr="00DF3C13">
        <w:rPr>
          <w:rFonts w:ascii="Times New Roman" w:hAnsi="Times New Roman" w:cs="Times New Roman"/>
        </w:rPr>
        <w:t>Ukupne i dospjele obaveze na da 31.12.2024. i 30.06.2025. prikazane su u tablici.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082"/>
        <w:gridCol w:w="3155"/>
      </w:tblGrid>
      <w:tr w:rsidR="00B67EE1" w:rsidRPr="00B67EE1" w14:paraId="26DE1C15" w14:textId="77777777" w:rsidTr="00470BDA">
        <w:tc>
          <w:tcPr>
            <w:tcW w:w="1951" w:type="dxa"/>
            <w:tcBorders>
              <w:top w:val="single" w:sz="4" w:space="0" w:color="auto"/>
              <w:left w:val="single" w:sz="4" w:space="0" w:color="auto"/>
              <w:bottom w:val="single" w:sz="4" w:space="0" w:color="auto"/>
              <w:right w:val="single" w:sz="4" w:space="0" w:color="auto"/>
            </w:tcBorders>
          </w:tcPr>
          <w:p w14:paraId="376D2100" w14:textId="77777777" w:rsidR="00B67EE1" w:rsidRPr="00B67EE1" w:rsidRDefault="00B67EE1" w:rsidP="00021CF0">
            <w:pPr>
              <w:spacing w:line="240" w:lineRule="auto"/>
              <w:rPr>
                <w:rFonts w:ascii="Times New Roman" w:hAnsi="Times New Roman" w:cs="Times New Roman"/>
              </w:rPr>
            </w:pPr>
          </w:p>
        </w:tc>
        <w:tc>
          <w:tcPr>
            <w:tcW w:w="3082" w:type="dxa"/>
            <w:tcBorders>
              <w:top w:val="single" w:sz="4" w:space="0" w:color="auto"/>
              <w:left w:val="single" w:sz="4" w:space="0" w:color="auto"/>
              <w:bottom w:val="single" w:sz="4" w:space="0" w:color="auto"/>
              <w:right w:val="single" w:sz="4" w:space="0" w:color="auto"/>
            </w:tcBorders>
            <w:hideMark/>
          </w:tcPr>
          <w:p w14:paraId="7097D33D" w14:textId="77777777" w:rsidR="00B67EE1" w:rsidRPr="00B67EE1" w:rsidRDefault="00B67EE1" w:rsidP="00021CF0">
            <w:pPr>
              <w:spacing w:line="240" w:lineRule="auto"/>
              <w:jc w:val="center"/>
              <w:rPr>
                <w:rFonts w:ascii="Times New Roman" w:hAnsi="Times New Roman" w:cs="Times New Roman"/>
              </w:rPr>
            </w:pPr>
            <w:r w:rsidRPr="00B67EE1">
              <w:rPr>
                <w:rFonts w:ascii="Times New Roman" w:hAnsi="Times New Roman" w:cs="Times New Roman"/>
              </w:rPr>
              <w:t>Stanje obveza na dan 31.12.2024.</w:t>
            </w:r>
          </w:p>
        </w:tc>
        <w:tc>
          <w:tcPr>
            <w:tcW w:w="3155" w:type="dxa"/>
            <w:tcBorders>
              <w:top w:val="single" w:sz="4" w:space="0" w:color="auto"/>
              <w:left w:val="single" w:sz="4" w:space="0" w:color="auto"/>
              <w:bottom w:val="single" w:sz="4" w:space="0" w:color="auto"/>
              <w:right w:val="single" w:sz="4" w:space="0" w:color="auto"/>
            </w:tcBorders>
            <w:hideMark/>
          </w:tcPr>
          <w:p w14:paraId="0B8FCDFD" w14:textId="77777777" w:rsidR="00B67EE1" w:rsidRPr="00B67EE1" w:rsidRDefault="00B67EE1" w:rsidP="00021CF0">
            <w:pPr>
              <w:spacing w:line="240" w:lineRule="auto"/>
              <w:jc w:val="center"/>
              <w:rPr>
                <w:rFonts w:ascii="Times New Roman" w:hAnsi="Times New Roman" w:cs="Times New Roman"/>
              </w:rPr>
            </w:pPr>
            <w:r w:rsidRPr="00B67EE1">
              <w:rPr>
                <w:rFonts w:ascii="Times New Roman" w:hAnsi="Times New Roman" w:cs="Times New Roman"/>
              </w:rPr>
              <w:t>Stanje obveza na dan 30.06.2025.</w:t>
            </w:r>
          </w:p>
        </w:tc>
      </w:tr>
      <w:tr w:rsidR="00B67EE1" w:rsidRPr="00B67EE1" w14:paraId="74465A90" w14:textId="77777777" w:rsidTr="00470BDA">
        <w:tc>
          <w:tcPr>
            <w:tcW w:w="1951" w:type="dxa"/>
            <w:tcBorders>
              <w:top w:val="single" w:sz="4" w:space="0" w:color="auto"/>
              <w:left w:val="single" w:sz="4" w:space="0" w:color="auto"/>
              <w:bottom w:val="single" w:sz="4" w:space="0" w:color="auto"/>
              <w:right w:val="single" w:sz="4" w:space="0" w:color="auto"/>
            </w:tcBorders>
            <w:hideMark/>
          </w:tcPr>
          <w:p w14:paraId="31E81BCF" w14:textId="77777777" w:rsidR="00B67EE1" w:rsidRPr="00B67EE1" w:rsidRDefault="00B67EE1" w:rsidP="00021CF0">
            <w:pPr>
              <w:spacing w:line="240" w:lineRule="auto"/>
              <w:rPr>
                <w:rFonts w:ascii="Times New Roman" w:hAnsi="Times New Roman" w:cs="Times New Roman"/>
              </w:rPr>
            </w:pPr>
            <w:r w:rsidRPr="00B67EE1">
              <w:rPr>
                <w:rFonts w:ascii="Times New Roman" w:hAnsi="Times New Roman" w:cs="Times New Roman"/>
              </w:rPr>
              <w:t>Ukupne obveze</w:t>
            </w:r>
          </w:p>
        </w:tc>
        <w:tc>
          <w:tcPr>
            <w:tcW w:w="3082" w:type="dxa"/>
            <w:tcBorders>
              <w:top w:val="single" w:sz="4" w:space="0" w:color="auto"/>
              <w:left w:val="single" w:sz="4" w:space="0" w:color="auto"/>
              <w:bottom w:val="single" w:sz="4" w:space="0" w:color="auto"/>
              <w:right w:val="single" w:sz="4" w:space="0" w:color="auto"/>
            </w:tcBorders>
          </w:tcPr>
          <w:p w14:paraId="307FA74C" w14:textId="77777777" w:rsidR="00B67EE1" w:rsidRPr="00B67EE1" w:rsidRDefault="00B67EE1" w:rsidP="001673EB">
            <w:pPr>
              <w:spacing w:line="240" w:lineRule="auto"/>
              <w:jc w:val="center"/>
              <w:rPr>
                <w:rFonts w:ascii="Times New Roman" w:hAnsi="Times New Roman" w:cs="Times New Roman"/>
              </w:rPr>
            </w:pPr>
            <w:r w:rsidRPr="00B67EE1">
              <w:rPr>
                <w:rFonts w:ascii="Times New Roman" w:hAnsi="Times New Roman" w:cs="Times New Roman"/>
              </w:rPr>
              <w:t>638.707,53 EUR</w:t>
            </w:r>
          </w:p>
        </w:tc>
        <w:tc>
          <w:tcPr>
            <w:tcW w:w="3155" w:type="dxa"/>
            <w:tcBorders>
              <w:top w:val="single" w:sz="4" w:space="0" w:color="auto"/>
              <w:left w:val="single" w:sz="4" w:space="0" w:color="auto"/>
              <w:bottom w:val="single" w:sz="4" w:space="0" w:color="auto"/>
              <w:right w:val="single" w:sz="4" w:space="0" w:color="auto"/>
            </w:tcBorders>
          </w:tcPr>
          <w:p w14:paraId="2C41D2F2" w14:textId="77777777" w:rsidR="00B67EE1" w:rsidRPr="00B67EE1" w:rsidRDefault="00B67EE1" w:rsidP="001673EB">
            <w:pPr>
              <w:spacing w:line="240" w:lineRule="auto"/>
              <w:jc w:val="center"/>
              <w:rPr>
                <w:rFonts w:ascii="Times New Roman" w:hAnsi="Times New Roman" w:cs="Times New Roman"/>
              </w:rPr>
            </w:pPr>
            <w:r w:rsidRPr="00B67EE1">
              <w:rPr>
                <w:rFonts w:ascii="Times New Roman" w:hAnsi="Times New Roman" w:cs="Times New Roman"/>
              </w:rPr>
              <w:t>99.924,01 EUR</w:t>
            </w:r>
          </w:p>
        </w:tc>
      </w:tr>
      <w:tr w:rsidR="00B67EE1" w:rsidRPr="00B67EE1" w14:paraId="20266D41" w14:textId="77777777" w:rsidTr="00470BDA">
        <w:tc>
          <w:tcPr>
            <w:tcW w:w="1951" w:type="dxa"/>
            <w:tcBorders>
              <w:top w:val="single" w:sz="4" w:space="0" w:color="auto"/>
              <w:left w:val="single" w:sz="4" w:space="0" w:color="auto"/>
              <w:bottom w:val="single" w:sz="4" w:space="0" w:color="auto"/>
              <w:right w:val="single" w:sz="4" w:space="0" w:color="auto"/>
            </w:tcBorders>
            <w:hideMark/>
          </w:tcPr>
          <w:p w14:paraId="4A0D3F8C" w14:textId="77777777" w:rsidR="00B67EE1" w:rsidRPr="00B67EE1" w:rsidRDefault="00B67EE1" w:rsidP="00021CF0">
            <w:pPr>
              <w:spacing w:line="240" w:lineRule="auto"/>
              <w:rPr>
                <w:rFonts w:ascii="Times New Roman" w:hAnsi="Times New Roman" w:cs="Times New Roman"/>
              </w:rPr>
            </w:pPr>
            <w:r w:rsidRPr="00B67EE1">
              <w:rPr>
                <w:rFonts w:ascii="Times New Roman" w:hAnsi="Times New Roman" w:cs="Times New Roman"/>
              </w:rPr>
              <w:t>Dospjele obveze</w:t>
            </w:r>
          </w:p>
        </w:tc>
        <w:tc>
          <w:tcPr>
            <w:tcW w:w="3082" w:type="dxa"/>
            <w:tcBorders>
              <w:top w:val="single" w:sz="4" w:space="0" w:color="auto"/>
              <w:left w:val="single" w:sz="4" w:space="0" w:color="auto"/>
              <w:bottom w:val="single" w:sz="4" w:space="0" w:color="auto"/>
              <w:right w:val="single" w:sz="4" w:space="0" w:color="auto"/>
            </w:tcBorders>
          </w:tcPr>
          <w:p w14:paraId="794BB3CD" w14:textId="3FA77EAA" w:rsidR="00B67EE1" w:rsidRPr="00B67EE1" w:rsidRDefault="00B67EE1" w:rsidP="001673EB">
            <w:pPr>
              <w:spacing w:line="240" w:lineRule="auto"/>
              <w:jc w:val="center"/>
              <w:rPr>
                <w:rFonts w:ascii="Times New Roman" w:hAnsi="Times New Roman" w:cs="Times New Roman"/>
              </w:rPr>
            </w:pPr>
            <w:r w:rsidRPr="00B67EE1">
              <w:rPr>
                <w:rFonts w:ascii="Times New Roman" w:hAnsi="Times New Roman" w:cs="Times New Roman"/>
              </w:rPr>
              <w:t>40.518,61  EUR</w:t>
            </w:r>
          </w:p>
        </w:tc>
        <w:tc>
          <w:tcPr>
            <w:tcW w:w="3155" w:type="dxa"/>
            <w:tcBorders>
              <w:top w:val="single" w:sz="4" w:space="0" w:color="auto"/>
              <w:left w:val="single" w:sz="4" w:space="0" w:color="auto"/>
              <w:bottom w:val="single" w:sz="4" w:space="0" w:color="auto"/>
              <w:right w:val="single" w:sz="4" w:space="0" w:color="auto"/>
            </w:tcBorders>
          </w:tcPr>
          <w:p w14:paraId="683DA66C" w14:textId="77777777" w:rsidR="00B67EE1" w:rsidRPr="00B67EE1" w:rsidRDefault="00B67EE1" w:rsidP="001673EB">
            <w:pPr>
              <w:spacing w:line="240" w:lineRule="auto"/>
              <w:jc w:val="center"/>
              <w:rPr>
                <w:rFonts w:ascii="Times New Roman" w:hAnsi="Times New Roman" w:cs="Times New Roman"/>
              </w:rPr>
            </w:pPr>
            <w:r w:rsidRPr="00B67EE1">
              <w:rPr>
                <w:rFonts w:ascii="Times New Roman" w:hAnsi="Times New Roman" w:cs="Times New Roman"/>
              </w:rPr>
              <w:t>212,99 EUR</w:t>
            </w:r>
          </w:p>
        </w:tc>
      </w:tr>
    </w:tbl>
    <w:p w14:paraId="09A16150" w14:textId="77777777" w:rsidR="001B57D1" w:rsidRDefault="001B57D1" w:rsidP="00021CF0">
      <w:pPr>
        <w:spacing w:line="240" w:lineRule="auto"/>
        <w:rPr>
          <w:rFonts w:ascii="Times New Roman" w:hAnsi="Times New Roman" w:cs="Times New Roman"/>
        </w:rPr>
      </w:pPr>
    </w:p>
    <w:p w14:paraId="678B54E5" w14:textId="77777777" w:rsidR="00D00617" w:rsidRDefault="00D00617" w:rsidP="00021CF0">
      <w:pPr>
        <w:spacing w:line="240" w:lineRule="auto"/>
        <w:rPr>
          <w:rFonts w:ascii="Times New Roman" w:hAnsi="Times New Roman" w:cs="Times New Roman"/>
        </w:rPr>
      </w:pPr>
    </w:p>
    <w:p w14:paraId="56457AAA" w14:textId="77777777" w:rsidR="00D00617" w:rsidRPr="00DF3C13" w:rsidRDefault="00D00617" w:rsidP="00021CF0">
      <w:pPr>
        <w:spacing w:line="240" w:lineRule="auto"/>
        <w:rPr>
          <w:rFonts w:ascii="Times New Roman" w:hAnsi="Times New Roman" w:cs="Times New Roman"/>
        </w:rPr>
      </w:pPr>
    </w:p>
    <w:p w14:paraId="0F1EE9CC" w14:textId="77777777" w:rsidR="001B57D1" w:rsidRPr="00DF3C13" w:rsidRDefault="001B57D1" w:rsidP="00021CF0">
      <w:pPr>
        <w:spacing w:line="240" w:lineRule="auto"/>
        <w:rPr>
          <w:rFonts w:ascii="Times New Roman" w:hAnsi="Times New Roman" w:cs="Times New Roman"/>
        </w:rPr>
      </w:pPr>
    </w:p>
    <w:p w14:paraId="67320528" w14:textId="68BFAB06" w:rsidR="001B57D1" w:rsidRPr="00D00617" w:rsidRDefault="001B57D1" w:rsidP="00D00617">
      <w:pPr>
        <w:pStyle w:val="Odlomakpopisa"/>
        <w:numPr>
          <w:ilvl w:val="0"/>
          <w:numId w:val="3"/>
        </w:numPr>
        <w:spacing w:after="0" w:line="240" w:lineRule="auto"/>
        <w:rPr>
          <w:rFonts w:ascii="Times New Roman" w:hAnsi="Times New Roman" w:cs="Times New Roman"/>
          <w:b/>
          <w:bCs/>
        </w:rPr>
      </w:pPr>
      <w:r w:rsidRPr="00D00617">
        <w:rPr>
          <w:rFonts w:ascii="Times New Roman" w:hAnsi="Times New Roman" w:cs="Times New Roman"/>
          <w:b/>
          <w:bCs/>
        </w:rPr>
        <w:t>PRIHODI I PRIMICI</w:t>
      </w:r>
    </w:p>
    <w:p w14:paraId="38427643" w14:textId="77777777" w:rsidR="00D00617" w:rsidRPr="00D00617" w:rsidRDefault="00D00617" w:rsidP="00D00617">
      <w:pPr>
        <w:pStyle w:val="Odlomakpopisa"/>
        <w:spacing w:after="0" w:line="240" w:lineRule="auto"/>
        <w:ind w:left="1065"/>
        <w:rPr>
          <w:rFonts w:ascii="Times New Roman" w:hAnsi="Times New Roman" w:cs="Times New Roman"/>
          <w:b/>
          <w:bCs/>
        </w:rPr>
      </w:pPr>
    </w:p>
    <w:p w14:paraId="3EF4146E" w14:textId="77777777" w:rsidR="009A2056" w:rsidRPr="00B67EE1" w:rsidRDefault="009A2056" w:rsidP="00DA140C">
      <w:pPr>
        <w:spacing w:after="0" w:line="240" w:lineRule="auto"/>
        <w:rPr>
          <w:rFonts w:ascii="Times New Roman" w:hAnsi="Times New Roman" w:cs="Times New Roman"/>
          <w:b/>
          <w:bCs/>
        </w:rPr>
      </w:pPr>
    </w:p>
    <w:p w14:paraId="04FCB211" w14:textId="21AD59A9" w:rsidR="001B57D1" w:rsidRDefault="001B57D1" w:rsidP="00DA140C">
      <w:pPr>
        <w:spacing w:after="0" w:line="240" w:lineRule="auto"/>
        <w:jc w:val="both"/>
        <w:rPr>
          <w:rFonts w:ascii="Times New Roman" w:hAnsi="Times New Roman" w:cs="Times New Roman"/>
        </w:rPr>
      </w:pPr>
      <w:r w:rsidRPr="00DF3C13">
        <w:rPr>
          <w:rFonts w:ascii="Times New Roman" w:hAnsi="Times New Roman" w:cs="Times New Roman"/>
        </w:rPr>
        <w:t xml:space="preserve">Ukupno planirani prihodi u 2026. godine iznose </w:t>
      </w:r>
      <w:r w:rsidR="004866BA">
        <w:rPr>
          <w:rFonts w:ascii="Times New Roman" w:hAnsi="Times New Roman" w:cs="Times New Roman"/>
        </w:rPr>
        <w:t>10.885.511</w:t>
      </w:r>
      <w:r w:rsidRPr="00DF3C13">
        <w:rPr>
          <w:rFonts w:ascii="Times New Roman" w:hAnsi="Times New Roman" w:cs="Times New Roman"/>
        </w:rPr>
        <w:t xml:space="preserve"> eura, u 2027. godini </w:t>
      </w:r>
      <w:r w:rsidR="004866BA">
        <w:rPr>
          <w:rFonts w:ascii="Times New Roman" w:hAnsi="Times New Roman" w:cs="Times New Roman"/>
        </w:rPr>
        <w:t>13.867.967</w:t>
      </w:r>
      <w:r w:rsidRPr="00DF3C13">
        <w:rPr>
          <w:rFonts w:ascii="Times New Roman" w:hAnsi="Times New Roman" w:cs="Times New Roman"/>
        </w:rPr>
        <w:t xml:space="preserve"> eura, a u 2028. godini </w:t>
      </w:r>
      <w:r w:rsidR="004866BA">
        <w:rPr>
          <w:rFonts w:ascii="Times New Roman" w:hAnsi="Times New Roman" w:cs="Times New Roman"/>
        </w:rPr>
        <w:t>11.076.248</w:t>
      </w:r>
      <w:r w:rsidRPr="00DF3C13">
        <w:rPr>
          <w:rFonts w:ascii="Times New Roman" w:hAnsi="Times New Roman" w:cs="Times New Roman"/>
        </w:rPr>
        <w:t xml:space="preserve"> eura. </w:t>
      </w:r>
    </w:p>
    <w:p w14:paraId="5B71A3CD" w14:textId="77777777" w:rsidR="009A2056" w:rsidRPr="00DF3C13" w:rsidRDefault="009A2056" w:rsidP="00DA140C">
      <w:pPr>
        <w:spacing w:after="0" w:line="240" w:lineRule="auto"/>
        <w:jc w:val="both"/>
        <w:rPr>
          <w:rFonts w:ascii="Times New Roman" w:hAnsi="Times New Roman" w:cs="Times New Roman"/>
        </w:rPr>
      </w:pPr>
    </w:p>
    <w:p w14:paraId="7A09A6C7" w14:textId="007560FE" w:rsidR="001B57D1" w:rsidRDefault="001B57D1" w:rsidP="00DA140C">
      <w:pPr>
        <w:spacing w:after="0" w:line="240" w:lineRule="auto"/>
        <w:jc w:val="both"/>
        <w:rPr>
          <w:rFonts w:ascii="Times New Roman" w:hAnsi="Times New Roman" w:cs="Times New Roman"/>
        </w:rPr>
      </w:pPr>
      <w:r w:rsidRPr="00DF3C13">
        <w:rPr>
          <w:rFonts w:ascii="Times New Roman" w:hAnsi="Times New Roman" w:cs="Times New Roman"/>
        </w:rPr>
        <w:t xml:space="preserve">Iz izvora financiranja 11 – Opći prihodi i primici, planirani su prihodi kako slijedi: 2026. godina </w:t>
      </w:r>
      <w:r w:rsidR="00E8298B">
        <w:rPr>
          <w:rFonts w:ascii="Times New Roman" w:hAnsi="Times New Roman" w:cs="Times New Roman"/>
        </w:rPr>
        <w:t>7.411.756</w:t>
      </w:r>
      <w:r w:rsidRPr="00DF3C13">
        <w:rPr>
          <w:rFonts w:ascii="Times New Roman" w:hAnsi="Times New Roman" w:cs="Times New Roman"/>
        </w:rPr>
        <w:t xml:space="preserve"> eura, 2027. godina: </w:t>
      </w:r>
      <w:r w:rsidR="00E8298B">
        <w:rPr>
          <w:rFonts w:ascii="Times New Roman" w:hAnsi="Times New Roman" w:cs="Times New Roman"/>
        </w:rPr>
        <w:t>7.681.450</w:t>
      </w:r>
      <w:r w:rsidRPr="00DF3C13">
        <w:rPr>
          <w:rFonts w:ascii="Times New Roman" w:hAnsi="Times New Roman" w:cs="Times New Roman"/>
        </w:rPr>
        <w:t xml:space="preserve"> eura, 2028. godina: </w:t>
      </w:r>
      <w:r w:rsidR="00E8298B">
        <w:rPr>
          <w:rFonts w:ascii="Times New Roman" w:hAnsi="Times New Roman" w:cs="Times New Roman"/>
        </w:rPr>
        <w:t>7.974.498</w:t>
      </w:r>
      <w:r w:rsidRPr="00DF3C13">
        <w:rPr>
          <w:rFonts w:ascii="Times New Roman" w:hAnsi="Times New Roman" w:cs="Times New Roman"/>
        </w:rPr>
        <w:t xml:space="preserve"> eura. </w:t>
      </w:r>
    </w:p>
    <w:p w14:paraId="3F541D4E" w14:textId="77777777" w:rsidR="009A2056" w:rsidRPr="00DF3C13" w:rsidRDefault="009A2056" w:rsidP="00DA140C">
      <w:pPr>
        <w:spacing w:after="0" w:line="240" w:lineRule="auto"/>
        <w:jc w:val="both"/>
        <w:rPr>
          <w:rFonts w:ascii="Times New Roman" w:hAnsi="Times New Roman" w:cs="Times New Roman"/>
        </w:rPr>
      </w:pPr>
    </w:p>
    <w:p w14:paraId="1F044502" w14:textId="6599E2B2" w:rsidR="001B57D1" w:rsidRDefault="001B57D1" w:rsidP="00DA140C">
      <w:pPr>
        <w:spacing w:after="0" w:line="240" w:lineRule="auto"/>
        <w:jc w:val="both"/>
        <w:rPr>
          <w:rFonts w:ascii="Times New Roman" w:hAnsi="Times New Roman" w:cs="Times New Roman"/>
        </w:rPr>
      </w:pPr>
      <w:r w:rsidRPr="00DF3C13">
        <w:rPr>
          <w:rFonts w:ascii="Times New Roman" w:hAnsi="Times New Roman" w:cs="Times New Roman"/>
        </w:rPr>
        <w:t>Prihodi iz izvora financiranja 31 – Vlastiti prihodi planirani su iznosu 2.</w:t>
      </w:r>
      <w:r w:rsidR="00B17751">
        <w:rPr>
          <w:rFonts w:ascii="Times New Roman" w:hAnsi="Times New Roman" w:cs="Times New Roman"/>
        </w:rPr>
        <w:t>230.200</w:t>
      </w:r>
      <w:r w:rsidRPr="00DF3C13">
        <w:rPr>
          <w:rFonts w:ascii="Times New Roman" w:hAnsi="Times New Roman" w:cs="Times New Roman"/>
        </w:rPr>
        <w:t xml:space="preserve"> eura za 2026. godinu, na temelju povijesnih podataka o prihodima ostvarenima u prethodnim razdobljima. Za 2027. i 2028.godinu prihodi su planirani u istim iznosima. Vlastite prihode u najvećem dijelu čine prihodi od pruženih usluga temeljem suradnje s gospodarskim subjektima a manjim dijelom prihodi od dividendi, prihodi od kamata na depozite po viđenju i prihodi od pozitivnih tečajnih razlika.</w:t>
      </w:r>
    </w:p>
    <w:p w14:paraId="0C917B29" w14:textId="77777777" w:rsidR="009A2056" w:rsidRPr="00DF3C13" w:rsidRDefault="009A2056" w:rsidP="00DA140C">
      <w:pPr>
        <w:spacing w:after="0" w:line="240" w:lineRule="auto"/>
        <w:jc w:val="both"/>
        <w:rPr>
          <w:rFonts w:ascii="Times New Roman" w:hAnsi="Times New Roman" w:cs="Times New Roman"/>
        </w:rPr>
      </w:pPr>
    </w:p>
    <w:p w14:paraId="5B718E88" w14:textId="08567114" w:rsidR="001B57D1" w:rsidRDefault="001B57D1" w:rsidP="00DA140C">
      <w:pPr>
        <w:spacing w:after="0" w:line="240" w:lineRule="auto"/>
        <w:jc w:val="both"/>
        <w:rPr>
          <w:rFonts w:ascii="Times New Roman" w:hAnsi="Times New Roman" w:cs="Times New Roman"/>
        </w:rPr>
      </w:pPr>
      <w:r w:rsidRPr="00DF3C13">
        <w:rPr>
          <w:rFonts w:ascii="Times New Roman" w:hAnsi="Times New Roman" w:cs="Times New Roman"/>
        </w:rPr>
        <w:t>Iz izvora financiranja 43 – Ostali prihodi za posebne namjene - Sufinanciranje cijene usluge - školarine studenata i druge naknade polaznika svih obrazovnih programa (prijediplomskih, diplomskih, doktorskih) planirani su prihodi u iznosu 300.000 eura za 2026. godinu, a isti iznos planiran je i za 2027. godinu i 2028. godinu. Prihodi su planirani na temelju povijesnih podatakao prihodima ostvarenima na ime participacija studenata u troškovima prijediplomskih i diplomskih studija, prihodima od školarina za poslijediplomske studije, prihodima od upisnina i drugih naknada za obavljanje administrativnih usluga</w:t>
      </w:r>
      <w:r w:rsidR="00F51ABD">
        <w:rPr>
          <w:rFonts w:ascii="Times New Roman" w:hAnsi="Times New Roman" w:cs="Times New Roman"/>
        </w:rPr>
        <w:t xml:space="preserve"> za studente</w:t>
      </w:r>
      <w:r w:rsidRPr="00DF3C13">
        <w:rPr>
          <w:rFonts w:ascii="Times New Roman" w:hAnsi="Times New Roman" w:cs="Times New Roman"/>
        </w:rPr>
        <w:t>.</w:t>
      </w:r>
    </w:p>
    <w:p w14:paraId="7121875B" w14:textId="77777777" w:rsidR="00F51ABD" w:rsidRPr="00DF3C13" w:rsidRDefault="00F51ABD" w:rsidP="00DA140C">
      <w:pPr>
        <w:spacing w:after="0" w:line="240" w:lineRule="auto"/>
        <w:jc w:val="both"/>
        <w:rPr>
          <w:rFonts w:ascii="Times New Roman" w:hAnsi="Times New Roman" w:cs="Times New Roman"/>
        </w:rPr>
      </w:pPr>
    </w:p>
    <w:p w14:paraId="2E75E5DB" w14:textId="77777777" w:rsidR="001B57D1" w:rsidRPr="00DF3C13" w:rsidRDefault="001B57D1" w:rsidP="00DA140C">
      <w:pPr>
        <w:spacing w:after="0" w:line="240" w:lineRule="auto"/>
        <w:jc w:val="both"/>
        <w:rPr>
          <w:rFonts w:ascii="Times New Roman" w:hAnsi="Times New Roman" w:cs="Times New Roman"/>
        </w:rPr>
      </w:pPr>
      <w:r w:rsidRPr="00DF3C13">
        <w:rPr>
          <w:rFonts w:ascii="Times New Roman" w:hAnsi="Times New Roman" w:cs="Times New Roman"/>
        </w:rPr>
        <w:t>Prihodi iz izvora 51 – Programi unije planirani su u iznosu od 166.196 eura u 2026. godini, 35.746 eura u 2027. godini te 111.198 eura u 2028.godini.za projekte financirane iz Horizon programa - DANube SEdiment Restoration:  towards deployment and upscaling of sustainable sediment management across the Danube River basin – DANSER, te 4 projekta financirana iz programa EIT Raw Materials.</w:t>
      </w:r>
    </w:p>
    <w:p w14:paraId="7BFFC2FE" w14:textId="77777777" w:rsidR="001B57D1" w:rsidRPr="00DF3C13" w:rsidRDefault="001B57D1" w:rsidP="00DA140C">
      <w:pPr>
        <w:spacing w:after="0" w:line="240" w:lineRule="auto"/>
        <w:jc w:val="both"/>
        <w:rPr>
          <w:rFonts w:ascii="Times New Roman" w:hAnsi="Times New Roman" w:cs="Times New Roman"/>
        </w:rPr>
      </w:pPr>
    </w:p>
    <w:p w14:paraId="1DE89292" w14:textId="77777777" w:rsidR="001B57D1" w:rsidRPr="00DF3C13" w:rsidRDefault="001B57D1" w:rsidP="00DA140C">
      <w:pPr>
        <w:spacing w:after="0" w:line="240" w:lineRule="auto"/>
        <w:jc w:val="both"/>
        <w:rPr>
          <w:rFonts w:ascii="Times New Roman" w:hAnsi="Times New Roman" w:cs="Times New Roman"/>
        </w:rPr>
      </w:pPr>
      <w:r w:rsidRPr="00DF3C13">
        <w:rPr>
          <w:rFonts w:ascii="Times New Roman" w:hAnsi="Times New Roman" w:cs="Times New Roman"/>
        </w:rPr>
        <w:lastRenderedPageBreak/>
        <w:t xml:space="preserve">Prihodi iz izvora 50 – Pomoći iz državnog proračuna planirani su u iznosu od 163.114 eura u 2026. godini, 194.568 eura u 2027. godini te 154.499 eura u 2028. godini za projekte financirane iz Hrvatske zaklade za znanost. </w:t>
      </w:r>
    </w:p>
    <w:p w14:paraId="7E4BAE19" w14:textId="77777777" w:rsidR="001B57D1" w:rsidRPr="00DF3C13" w:rsidRDefault="001B57D1" w:rsidP="00DA140C">
      <w:pPr>
        <w:spacing w:after="0" w:line="240" w:lineRule="auto"/>
        <w:jc w:val="both"/>
        <w:rPr>
          <w:rFonts w:ascii="Times New Roman" w:hAnsi="Times New Roman" w:cs="Times New Roman"/>
        </w:rPr>
      </w:pPr>
    </w:p>
    <w:p w14:paraId="3862E4BA" w14:textId="77777777" w:rsidR="001B57D1" w:rsidRPr="00DF3C13" w:rsidRDefault="001B57D1" w:rsidP="00DA140C">
      <w:pPr>
        <w:spacing w:after="0" w:line="240" w:lineRule="auto"/>
        <w:jc w:val="both"/>
        <w:rPr>
          <w:rFonts w:ascii="Times New Roman" w:hAnsi="Times New Roman" w:cs="Times New Roman"/>
        </w:rPr>
      </w:pPr>
      <w:r w:rsidRPr="00DF3C13">
        <w:rPr>
          <w:rFonts w:ascii="Times New Roman" w:hAnsi="Times New Roman" w:cs="Times New Roman"/>
        </w:rPr>
        <w:t xml:space="preserve">Prihodi iz izvora 61 – Donacije – Tekuće donacije od neprofitnih organizacija i trgovačkih društva, planirani su u iznosu od 3.000 eura u 2026. godini, te u istim iznosima u 2027. i 2028.godini. Spomenuti prihodi odnose se na potencijalne donacije od domaćih i stranih neprofitnih organizacija ili trgovačkih društva u svrhu podrške studentskih aktivnosti i djelatnosti fakulteta. </w:t>
      </w:r>
    </w:p>
    <w:p w14:paraId="44ED7FEC" w14:textId="77777777" w:rsidR="001B57D1" w:rsidRPr="00DF3C13" w:rsidRDefault="001B57D1" w:rsidP="00DA140C">
      <w:pPr>
        <w:spacing w:line="240" w:lineRule="auto"/>
        <w:jc w:val="both"/>
        <w:rPr>
          <w:rFonts w:ascii="Times New Roman" w:hAnsi="Times New Roman" w:cs="Times New Roman"/>
        </w:rPr>
      </w:pPr>
    </w:p>
    <w:p w14:paraId="66515E18" w14:textId="4C0C8CC2" w:rsidR="001B57D1" w:rsidRPr="00DF3C13" w:rsidRDefault="001B57D1" w:rsidP="00DA140C">
      <w:pPr>
        <w:spacing w:after="0" w:line="240" w:lineRule="auto"/>
        <w:jc w:val="both"/>
        <w:rPr>
          <w:rFonts w:ascii="Times New Roman" w:hAnsi="Times New Roman" w:cs="Times New Roman"/>
        </w:rPr>
      </w:pPr>
      <w:r w:rsidRPr="00DF3C13">
        <w:rPr>
          <w:rFonts w:ascii="Times New Roman" w:hAnsi="Times New Roman" w:cs="Times New Roman"/>
        </w:rPr>
        <w:t xml:space="preserve">Prihodi iz izvora 71 – </w:t>
      </w:r>
      <w:r w:rsidR="00124692" w:rsidRPr="00DF3C13">
        <w:rPr>
          <w:rFonts w:ascii="Times New Roman" w:hAnsi="Times New Roman" w:cs="Times New Roman"/>
        </w:rPr>
        <w:t xml:space="preserve">Prihodi od </w:t>
      </w:r>
      <w:r w:rsidR="00124692">
        <w:rPr>
          <w:rFonts w:ascii="Times New Roman" w:hAnsi="Times New Roman" w:cs="Times New Roman"/>
        </w:rPr>
        <w:t>prodaje ili zamjene nefinancijske imovine i naknade s naslova osiguranja</w:t>
      </w:r>
      <w:r w:rsidR="00124692" w:rsidRPr="00DF3C13">
        <w:rPr>
          <w:rFonts w:ascii="Times New Roman" w:hAnsi="Times New Roman" w:cs="Times New Roman"/>
        </w:rPr>
        <w:t xml:space="preserve"> </w:t>
      </w:r>
      <w:r w:rsidRPr="00DF3C13">
        <w:rPr>
          <w:rFonts w:ascii="Times New Roman" w:hAnsi="Times New Roman" w:cs="Times New Roman"/>
        </w:rPr>
        <w:t>odnose se na prihode od otkupa stanova na kojima postoji stanarsko pravo,te naknada šteta od osiguranja a planirani su na temelju dosadašnje dinamike uplata u istom iznosu od 31.000 eura.</w:t>
      </w:r>
    </w:p>
    <w:p w14:paraId="5A93A4FF" w14:textId="77777777" w:rsidR="001B57D1" w:rsidRPr="00DF3C13" w:rsidRDefault="001B57D1" w:rsidP="00DA140C">
      <w:pPr>
        <w:spacing w:after="0" w:line="240" w:lineRule="auto"/>
        <w:jc w:val="both"/>
        <w:rPr>
          <w:rFonts w:ascii="Times New Roman" w:hAnsi="Times New Roman" w:cs="Times New Roman"/>
        </w:rPr>
      </w:pPr>
    </w:p>
    <w:p w14:paraId="0AB29201" w14:textId="5BB13FDF" w:rsidR="001B57D1" w:rsidRDefault="001B57D1" w:rsidP="00DA140C">
      <w:pPr>
        <w:spacing w:after="0" w:line="240" w:lineRule="auto"/>
        <w:jc w:val="both"/>
        <w:rPr>
          <w:rFonts w:ascii="Times New Roman" w:hAnsi="Times New Roman" w:cs="Times New Roman"/>
        </w:rPr>
      </w:pPr>
      <w:r w:rsidRPr="00DF3C13">
        <w:rPr>
          <w:rFonts w:ascii="Times New Roman" w:hAnsi="Times New Roman" w:cs="Times New Roman"/>
        </w:rPr>
        <w:t xml:space="preserve">Prihodi iz izvora 581 - Mehanizam za oporavak i otpornost planirani su u iznosu od </w:t>
      </w:r>
      <w:r w:rsidR="00B17751">
        <w:rPr>
          <w:rFonts w:ascii="Times New Roman" w:hAnsi="Times New Roman" w:cs="Times New Roman"/>
        </w:rPr>
        <w:t>331.286</w:t>
      </w:r>
      <w:r w:rsidRPr="00DF3C13">
        <w:rPr>
          <w:rFonts w:ascii="Times New Roman" w:hAnsi="Times New Roman" w:cs="Times New Roman"/>
        </w:rPr>
        <w:t xml:space="preserve"> eura u 2026. godini u okviru projekata financiranih kroz Nacionalni plan oporavka i otpornosti (NPOO). </w:t>
      </w:r>
    </w:p>
    <w:p w14:paraId="6DF28CD4" w14:textId="77777777" w:rsidR="00B17751" w:rsidRPr="00DF3C13" w:rsidRDefault="00B17751" w:rsidP="00DA140C">
      <w:pPr>
        <w:spacing w:after="0" w:line="240" w:lineRule="auto"/>
        <w:jc w:val="both"/>
        <w:rPr>
          <w:rFonts w:ascii="Times New Roman" w:hAnsi="Times New Roman" w:cs="Times New Roman"/>
        </w:rPr>
      </w:pPr>
    </w:p>
    <w:p w14:paraId="7F97F020" w14:textId="77777777" w:rsidR="001B57D1" w:rsidRDefault="001B57D1" w:rsidP="00DA140C">
      <w:pPr>
        <w:spacing w:after="0" w:line="240" w:lineRule="auto"/>
        <w:jc w:val="both"/>
        <w:rPr>
          <w:rFonts w:ascii="Times New Roman" w:hAnsi="Times New Roman" w:cs="Times New Roman"/>
        </w:rPr>
      </w:pPr>
      <w:r w:rsidRPr="00DF3C13">
        <w:rPr>
          <w:rFonts w:ascii="Times New Roman" w:hAnsi="Times New Roman" w:cs="Times New Roman"/>
        </w:rPr>
        <w:t>Prihodi iz izvora 563 – Europski fond za regionalni razvoj (EFRR) planirani su u iznosu od 248.959 eura u 2026.godini te 120.150 eura u 2027.godini. Navedeni prihodi odnose se na prihode po Interreg projektima - Danube GeoHeCo i TRANSGEO.</w:t>
      </w:r>
    </w:p>
    <w:p w14:paraId="03A34FEB" w14:textId="77777777" w:rsidR="00DA140C" w:rsidRPr="00DF3C13" w:rsidRDefault="00DA140C" w:rsidP="00DA140C">
      <w:pPr>
        <w:spacing w:after="0" w:line="240" w:lineRule="auto"/>
        <w:jc w:val="both"/>
        <w:rPr>
          <w:rFonts w:ascii="Times New Roman" w:hAnsi="Times New Roman" w:cs="Times New Roman"/>
        </w:rPr>
      </w:pPr>
    </w:p>
    <w:p w14:paraId="39EC24C8" w14:textId="163F892D" w:rsidR="00B17751" w:rsidRPr="00DF3C13" w:rsidRDefault="00B17751" w:rsidP="00B17751">
      <w:pPr>
        <w:spacing w:after="0" w:line="240" w:lineRule="auto"/>
        <w:jc w:val="both"/>
        <w:rPr>
          <w:rFonts w:ascii="Times New Roman" w:hAnsi="Times New Roman" w:cs="Times New Roman"/>
        </w:rPr>
      </w:pPr>
      <w:r>
        <w:rPr>
          <w:rFonts w:ascii="Times New Roman" w:hAnsi="Times New Roman" w:cs="Times New Roman"/>
        </w:rPr>
        <w:t xml:space="preserve">Prihodi iz izvora 815 – Namjenski primitak – NPOO - </w:t>
      </w:r>
      <w:r w:rsidRPr="00DF3C13">
        <w:rPr>
          <w:rFonts w:ascii="Times New Roman" w:hAnsi="Times New Roman" w:cs="Times New Roman"/>
        </w:rPr>
        <w:t>U iznosu od 3.000.000 eura planirani su prihodi u 2027.godini, u okviru infrastrukturnog projekta energetske obnove zgrade.</w:t>
      </w:r>
    </w:p>
    <w:p w14:paraId="02E3EB92" w14:textId="77777777" w:rsidR="001B57D1" w:rsidRDefault="001B57D1" w:rsidP="00DA140C">
      <w:pPr>
        <w:spacing w:after="0" w:line="240" w:lineRule="auto"/>
        <w:jc w:val="both"/>
        <w:rPr>
          <w:rFonts w:ascii="Times New Roman" w:hAnsi="Times New Roman" w:cs="Times New Roman"/>
        </w:rPr>
      </w:pPr>
    </w:p>
    <w:p w14:paraId="5C83FFD3" w14:textId="77777777" w:rsidR="00D00617" w:rsidRDefault="00D00617" w:rsidP="00DA140C">
      <w:pPr>
        <w:spacing w:after="0" w:line="240" w:lineRule="auto"/>
        <w:jc w:val="both"/>
        <w:rPr>
          <w:rFonts w:ascii="Times New Roman" w:hAnsi="Times New Roman" w:cs="Times New Roman"/>
        </w:rPr>
      </w:pPr>
    </w:p>
    <w:p w14:paraId="70672F9E" w14:textId="77777777" w:rsidR="00D00617" w:rsidRPr="00DF3C13" w:rsidRDefault="00D00617" w:rsidP="00DA140C">
      <w:pPr>
        <w:spacing w:after="0" w:line="240" w:lineRule="auto"/>
        <w:jc w:val="both"/>
        <w:rPr>
          <w:rFonts w:ascii="Times New Roman" w:hAnsi="Times New Roman" w:cs="Times New Roman"/>
        </w:rPr>
      </w:pPr>
    </w:p>
    <w:p w14:paraId="7CD101E6" w14:textId="1D31D512" w:rsidR="001B57D1" w:rsidRPr="00D00617" w:rsidRDefault="001B57D1" w:rsidP="00D00617">
      <w:pPr>
        <w:pStyle w:val="Odlomakpopisa"/>
        <w:numPr>
          <w:ilvl w:val="0"/>
          <w:numId w:val="3"/>
        </w:numPr>
        <w:spacing w:line="240" w:lineRule="auto"/>
        <w:jc w:val="both"/>
        <w:rPr>
          <w:rFonts w:ascii="Times New Roman" w:hAnsi="Times New Roman" w:cs="Times New Roman"/>
          <w:b/>
          <w:bCs/>
        </w:rPr>
      </w:pPr>
      <w:r w:rsidRPr="00D00617">
        <w:rPr>
          <w:rFonts w:ascii="Times New Roman" w:hAnsi="Times New Roman" w:cs="Times New Roman"/>
          <w:b/>
          <w:bCs/>
        </w:rPr>
        <w:t>RASHODI I IZDACI</w:t>
      </w:r>
    </w:p>
    <w:p w14:paraId="118B0454" w14:textId="77777777" w:rsidR="00D00617" w:rsidRPr="00D00617" w:rsidRDefault="00D00617" w:rsidP="00D00617">
      <w:pPr>
        <w:pStyle w:val="Odlomakpopisa"/>
        <w:spacing w:line="240" w:lineRule="auto"/>
        <w:ind w:left="1065"/>
        <w:jc w:val="both"/>
        <w:rPr>
          <w:rFonts w:ascii="Times New Roman" w:hAnsi="Times New Roman" w:cs="Times New Roman"/>
          <w:b/>
          <w:bCs/>
        </w:rPr>
      </w:pPr>
    </w:p>
    <w:p w14:paraId="7942C7CB" w14:textId="77777777" w:rsidR="001B57D1" w:rsidRPr="00DF3C13" w:rsidRDefault="001B57D1" w:rsidP="00DA140C">
      <w:pPr>
        <w:spacing w:after="0" w:line="240" w:lineRule="auto"/>
        <w:jc w:val="both"/>
        <w:rPr>
          <w:rFonts w:ascii="Times New Roman" w:hAnsi="Times New Roman" w:cs="Times New Roman"/>
        </w:rPr>
      </w:pPr>
    </w:p>
    <w:p w14:paraId="11F7B59A" w14:textId="059E910E" w:rsidR="001B57D1" w:rsidRPr="00DF3C13" w:rsidRDefault="001B57D1" w:rsidP="00DA140C">
      <w:pPr>
        <w:spacing w:after="0" w:line="240" w:lineRule="auto"/>
        <w:jc w:val="both"/>
        <w:rPr>
          <w:rFonts w:ascii="Times New Roman" w:hAnsi="Times New Roman" w:cs="Times New Roman"/>
        </w:rPr>
      </w:pPr>
      <w:r w:rsidRPr="00DF3C13">
        <w:rPr>
          <w:rFonts w:ascii="Times New Roman" w:hAnsi="Times New Roman" w:cs="Times New Roman"/>
        </w:rPr>
        <w:t xml:space="preserve">Ukupno planirani rashodi u 2026. godini iznose </w:t>
      </w:r>
      <w:r w:rsidR="00B17751">
        <w:rPr>
          <w:rFonts w:ascii="Times New Roman" w:hAnsi="Times New Roman" w:cs="Times New Roman"/>
        </w:rPr>
        <w:t>10.919.951</w:t>
      </w:r>
      <w:r w:rsidRPr="00DF3C13">
        <w:rPr>
          <w:rFonts w:ascii="Times New Roman" w:hAnsi="Times New Roman" w:cs="Times New Roman"/>
        </w:rPr>
        <w:t xml:space="preserve"> eura, u 2027. godini </w:t>
      </w:r>
      <w:r w:rsidR="00B17751">
        <w:rPr>
          <w:rFonts w:ascii="Times New Roman" w:hAnsi="Times New Roman" w:cs="Times New Roman"/>
        </w:rPr>
        <w:t>13.835.471</w:t>
      </w:r>
      <w:r w:rsidRPr="00DF3C13">
        <w:rPr>
          <w:rFonts w:ascii="Times New Roman" w:hAnsi="Times New Roman" w:cs="Times New Roman"/>
        </w:rPr>
        <w:t xml:space="preserve"> eura, a u 2028. godini </w:t>
      </w:r>
      <w:r w:rsidR="00B17751">
        <w:rPr>
          <w:rFonts w:ascii="Times New Roman" w:hAnsi="Times New Roman" w:cs="Times New Roman"/>
        </w:rPr>
        <w:t>10.844.286</w:t>
      </w:r>
      <w:r w:rsidRPr="00DF3C13">
        <w:rPr>
          <w:rFonts w:ascii="Times New Roman" w:hAnsi="Times New Roman" w:cs="Times New Roman"/>
        </w:rPr>
        <w:t xml:space="preserve"> eura.</w:t>
      </w:r>
    </w:p>
    <w:p w14:paraId="66FE9C5A" w14:textId="77777777" w:rsidR="001B57D1" w:rsidRPr="00DF3C13" w:rsidRDefault="001B57D1" w:rsidP="00DA140C">
      <w:pPr>
        <w:spacing w:after="0" w:line="240" w:lineRule="auto"/>
        <w:jc w:val="both"/>
        <w:rPr>
          <w:rFonts w:ascii="Times New Roman" w:hAnsi="Times New Roman" w:cs="Times New Roman"/>
        </w:rPr>
      </w:pPr>
    </w:p>
    <w:p w14:paraId="50C10681" w14:textId="77777777" w:rsidR="001B57D1" w:rsidRPr="00DF3C13" w:rsidRDefault="001B57D1" w:rsidP="00DA140C">
      <w:pPr>
        <w:spacing w:after="0" w:line="240" w:lineRule="auto"/>
        <w:jc w:val="both"/>
        <w:rPr>
          <w:rFonts w:ascii="Times New Roman" w:hAnsi="Times New Roman" w:cs="Times New Roman"/>
        </w:rPr>
      </w:pPr>
      <w:r w:rsidRPr="00DF3C13">
        <w:rPr>
          <w:rFonts w:ascii="Times New Roman" w:hAnsi="Times New Roman" w:cs="Times New Roman"/>
        </w:rPr>
        <w:t>Iz izvora financiranja 11 – Opći prihodi i primici u okviru aktivnosti programskog financiranja rashodi su planirani u visini planiranih prihoda za spomenuto trogodišnje razdoblje. Najveći dio rashoda odnosi se na plaće zaposlenika i na materijalne rashode odnosno troškove energije, te usluge tekućeg i investicijskog održavanja.</w:t>
      </w:r>
    </w:p>
    <w:p w14:paraId="18236C97" w14:textId="77777777" w:rsidR="001B57D1" w:rsidRPr="00DF3C13" w:rsidRDefault="001B57D1" w:rsidP="00DA140C">
      <w:pPr>
        <w:spacing w:after="0" w:line="240" w:lineRule="auto"/>
        <w:jc w:val="both"/>
        <w:rPr>
          <w:rFonts w:ascii="Times New Roman" w:hAnsi="Times New Roman" w:cs="Times New Roman"/>
        </w:rPr>
      </w:pPr>
    </w:p>
    <w:p w14:paraId="22099BA6" w14:textId="77777777" w:rsidR="001B57D1" w:rsidRPr="00DF3C13" w:rsidRDefault="001B57D1" w:rsidP="00DA140C">
      <w:pPr>
        <w:spacing w:after="0" w:line="240" w:lineRule="auto"/>
        <w:jc w:val="both"/>
        <w:rPr>
          <w:rFonts w:ascii="Times New Roman" w:hAnsi="Times New Roman" w:cs="Times New Roman"/>
        </w:rPr>
      </w:pPr>
      <w:r w:rsidRPr="00DF3C13">
        <w:rPr>
          <w:rFonts w:ascii="Times New Roman" w:hAnsi="Times New Roman" w:cs="Times New Roman"/>
        </w:rPr>
        <w:t>Rashodi iz izvora financiranja 31 – Vlastiti prihodi planirani su u iznosu od 2.096.000 eura u 2026.,2027., i 2028.godini. Najveći udio u projiciranim rashodima čine rashodi za zaposlene, a u materijalnim rashodima čine rashodi za usluge tekućeg i investicijskog održavanja te rashodi za energiju i intelektualne usluge.</w:t>
      </w:r>
    </w:p>
    <w:p w14:paraId="65A4EB05" w14:textId="77777777" w:rsidR="001B57D1" w:rsidRPr="00DF3C13" w:rsidRDefault="001B57D1" w:rsidP="00DA140C">
      <w:pPr>
        <w:spacing w:after="0" w:line="240" w:lineRule="auto"/>
        <w:jc w:val="both"/>
        <w:rPr>
          <w:rFonts w:ascii="Times New Roman" w:hAnsi="Times New Roman" w:cs="Times New Roman"/>
        </w:rPr>
      </w:pPr>
    </w:p>
    <w:p w14:paraId="02D9161B" w14:textId="77777777" w:rsidR="001B57D1" w:rsidRPr="00DF3C13" w:rsidRDefault="001B57D1" w:rsidP="00DA140C">
      <w:pPr>
        <w:spacing w:after="0" w:line="240" w:lineRule="auto"/>
        <w:jc w:val="both"/>
        <w:rPr>
          <w:rFonts w:ascii="Times New Roman" w:hAnsi="Times New Roman" w:cs="Times New Roman"/>
        </w:rPr>
      </w:pPr>
      <w:r w:rsidRPr="00DF3C13">
        <w:rPr>
          <w:rFonts w:ascii="Times New Roman" w:hAnsi="Times New Roman" w:cs="Times New Roman"/>
        </w:rPr>
        <w:t>Iz izvora financiranja 43 – Ostali prihodi za posebne namjene - Sufinanciranje cijene usluge, participacije i slično- planirani su rashodi u iznosu 245.000 eura za 2026., 2027. i 2028. godinu.</w:t>
      </w:r>
    </w:p>
    <w:p w14:paraId="5D31C3E0" w14:textId="77777777" w:rsidR="001B57D1" w:rsidRPr="00DF3C13" w:rsidRDefault="001B57D1" w:rsidP="00DA140C">
      <w:pPr>
        <w:spacing w:after="0" w:line="240" w:lineRule="auto"/>
        <w:jc w:val="both"/>
        <w:rPr>
          <w:rFonts w:ascii="Times New Roman" w:hAnsi="Times New Roman" w:cs="Times New Roman"/>
        </w:rPr>
      </w:pPr>
    </w:p>
    <w:p w14:paraId="59345FD0" w14:textId="77777777" w:rsidR="001B57D1" w:rsidRPr="00DF3C13" w:rsidRDefault="001B57D1" w:rsidP="00DA140C">
      <w:pPr>
        <w:spacing w:after="0" w:line="240" w:lineRule="auto"/>
        <w:jc w:val="both"/>
        <w:rPr>
          <w:rFonts w:ascii="Times New Roman" w:hAnsi="Times New Roman" w:cs="Times New Roman"/>
        </w:rPr>
      </w:pPr>
      <w:r w:rsidRPr="00DF3C13">
        <w:rPr>
          <w:rFonts w:ascii="Times New Roman" w:hAnsi="Times New Roman" w:cs="Times New Roman"/>
        </w:rPr>
        <w:t>Rashodi iz izvora 50 ‐ Pomoći iz državnog proračuna planirani su u iznosu od 168.590 eura u 2026. godini, 173.783 eura u 2026. godini te 152.727 eura u 2028. godini.</w:t>
      </w:r>
    </w:p>
    <w:p w14:paraId="494C8D92" w14:textId="77777777" w:rsidR="001B57D1" w:rsidRPr="00DF3C13" w:rsidRDefault="001B57D1" w:rsidP="00DA140C">
      <w:pPr>
        <w:spacing w:after="0" w:line="240" w:lineRule="auto"/>
        <w:jc w:val="both"/>
        <w:rPr>
          <w:rFonts w:ascii="Times New Roman" w:hAnsi="Times New Roman" w:cs="Times New Roman"/>
        </w:rPr>
      </w:pPr>
      <w:r w:rsidRPr="00DF3C13">
        <w:rPr>
          <w:rFonts w:ascii="Times New Roman" w:hAnsi="Times New Roman" w:cs="Times New Roman"/>
        </w:rPr>
        <w:lastRenderedPageBreak/>
        <w:t>Navedeni rashodi odnose se na troškove zaposlenih osoba na projektima financiranih iz Hrvatske zaklade za znanost, te na materijalne rashode.</w:t>
      </w:r>
    </w:p>
    <w:p w14:paraId="18E0002B" w14:textId="77777777" w:rsidR="001B57D1" w:rsidRPr="00DF3C13" w:rsidRDefault="001B57D1" w:rsidP="00DA140C">
      <w:pPr>
        <w:spacing w:after="0" w:line="240" w:lineRule="auto"/>
        <w:jc w:val="both"/>
        <w:rPr>
          <w:rFonts w:ascii="Times New Roman" w:hAnsi="Times New Roman" w:cs="Times New Roman"/>
        </w:rPr>
      </w:pPr>
    </w:p>
    <w:p w14:paraId="64733B33" w14:textId="77777777" w:rsidR="001B57D1" w:rsidRPr="00DF3C13" w:rsidRDefault="001B57D1" w:rsidP="00DA140C">
      <w:pPr>
        <w:spacing w:after="0" w:line="240" w:lineRule="auto"/>
        <w:jc w:val="both"/>
        <w:rPr>
          <w:rFonts w:ascii="Times New Roman" w:hAnsi="Times New Roman" w:cs="Times New Roman"/>
        </w:rPr>
      </w:pPr>
      <w:r w:rsidRPr="00DF3C13">
        <w:rPr>
          <w:rFonts w:ascii="Times New Roman" w:hAnsi="Times New Roman" w:cs="Times New Roman"/>
        </w:rPr>
        <w:t xml:space="preserve">Rashodi iz izvora 51 – Programi unije planirani su u iznosu od 376.360 eura za 2026.godinu, 212.735 eura za 2027.godinu te 70.208 eura za 2028.godinu. Navedeni rashodi odnose se na troškove zaposlenih osoba na projektima, te na materijalne rashode. </w:t>
      </w:r>
    </w:p>
    <w:p w14:paraId="33B2FB9B" w14:textId="77777777" w:rsidR="001B57D1" w:rsidRPr="00DF3C13" w:rsidRDefault="001B57D1" w:rsidP="00DA140C">
      <w:pPr>
        <w:spacing w:after="0" w:line="240" w:lineRule="auto"/>
        <w:jc w:val="both"/>
        <w:rPr>
          <w:rFonts w:ascii="Times New Roman" w:hAnsi="Times New Roman" w:cs="Times New Roman"/>
        </w:rPr>
      </w:pPr>
    </w:p>
    <w:p w14:paraId="746B283F" w14:textId="77777777" w:rsidR="001B57D1" w:rsidRPr="00DF3C13" w:rsidRDefault="001B57D1" w:rsidP="00DA140C">
      <w:pPr>
        <w:spacing w:after="0" w:line="240" w:lineRule="auto"/>
        <w:jc w:val="both"/>
        <w:rPr>
          <w:rFonts w:ascii="Times New Roman" w:hAnsi="Times New Roman" w:cs="Times New Roman"/>
        </w:rPr>
      </w:pPr>
      <w:r w:rsidRPr="00DF3C13">
        <w:rPr>
          <w:rFonts w:ascii="Times New Roman" w:hAnsi="Times New Roman" w:cs="Times New Roman"/>
        </w:rPr>
        <w:t xml:space="preserve">Rashodi iz izvora 61 - Donacije – Tekuće donacije od neprofitnih organizacija i trgovačkih društva, planirani su u iznosu od 6.500 eura u 2026.godini, u iznosu od 3.500 eura u 2027.godini te u iznosu od 3.000 eura u 2028.godini. </w:t>
      </w:r>
    </w:p>
    <w:p w14:paraId="4DF3E8E7" w14:textId="77777777" w:rsidR="001B57D1" w:rsidRPr="00DF3C13" w:rsidRDefault="001B57D1" w:rsidP="00DA140C">
      <w:pPr>
        <w:spacing w:after="0" w:line="240" w:lineRule="auto"/>
        <w:jc w:val="both"/>
        <w:rPr>
          <w:rFonts w:ascii="Times New Roman" w:hAnsi="Times New Roman" w:cs="Times New Roman"/>
        </w:rPr>
      </w:pPr>
    </w:p>
    <w:p w14:paraId="690BA26B" w14:textId="5E5E9969" w:rsidR="001B57D1" w:rsidRPr="00DF3C13" w:rsidRDefault="001B57D1" w:rsidP="00DA140C">
      <w:pPr>
        <w:spacing w:after="0" w:line="240" w:lineRule="auto"/>
        <w:jc w:val="both"/>
        <w:rPr>
          <w:rFonts w:ascii="Times New Roman" w:hAnsi="Times New Roman" w:cs="Times New Roman"/>
        </w:rPr>
      </w:pPr>
      <w:r w:rsidRPr="00DF3C13">
        <w:rPr>
          <w:rFonts w:ascii="Times New Roman" w:hAnsi="Times New Roman" w:cs="Times New Roman"/>
        </w:rPr>
        <w:t xml:space="preserve">Rashodi iz izvora 71 – Prihodi od </w:t>
      </w:r>
      <w:r w:rsidR="00310412">
        <w:rPr>
          <w:rFonts w:ascii="Times New Roman" w:hAnsi="Times New Roman" w:cs="Times New Roman"/>
        </w:rPr>
        <w:t xml:space="preserve">prodaje </w:t>
      </w:r>
      <w:r w:rsidR="00792B44">
        <w:rPr>
          <w:rFonts w:ascii="Times New Roman" w:hAnsi="Times New Roman" w:cs="Times New Roman"/>
        </w:rPr>
        <w:t>ili zamjene nefinancijske imovine i naknade s naslova osiguranja</w:t>
      </w:r>
      <w:r w:rsidRPr="00DF3C13">
        <w:rPr>
          <w:rFonts w:ascii="Times New Roman" w:hAnsi="Times New Roman" w:cs="Times New Roman"/>
        </w:rPr>
        <w:t xml:space="preserve"> planirani su </w:t>
      </w:r>
      <w:r w:rsidR="00792B44">
        <w:rPr>
          <w:rFonts w:ascii="Times New Roman" w:hAnsi="Times New Roman" w:cs="Times New Roman"/>
        </w:rPr>
        <w:t xml:space="preserve">u iznosu od </w:t>
      </w:r>
      <w:r w:rsidRPr="00DF3C13">
        <w:rPr>
          <w:rFonts w:ascii="Times New Roman" w:hAnsi="Times New Roman" w:cs="Times New Roman"/>
        </w:rPr>
        <w:t>35.500 eura u 2026. godini, 31.000 eura u 2027. godini te 31.000 eura u 2028. godini, a planirani rashodi odnose se na rashode za materijal i dijelove za tekuće i investicijsko održavanje i dodatna ulaganja na nefinancijskoj imovini.</w:t>
      </w:r>
    </w:p>
    <w:p w14:paraId="7E62CF24" w14:textId="77777777" w:rsidR="001B57D1" w:rsidRPr="00DF3C13" w:rsidRDefault="001B57D1" w:rsidP="00DA140C">
      <w:pPr>
        <w:spacing w:after="0" w:line="240" w:lineRule="auto"/>
        <w:jc w:val="both"/>
        <w:rPr>
          <w:rFonts w:ascii="Times New Roman" w:hAnsi="Times New Roman" w:cs="Times New Roman"/>
        </w:rPr>
      </w:pPr>
    </w:p>
    <w:p w14:paraId="2EE02D09" w14:textId="71082D5E" w:rsidR="001B57D1" w:rsidRDefault="001B57D1" w:rsidP="00045E22">
      <w:pPr>
        <w:spacing w:after="0" w:line="240" w:lineRule="auto"/>
        <w:jc w:val="both"/>
        <w:rPr>
          <w:rFonts w:ascii="Times New Roman" w:hAnsi="Times New Roman" w:cs="Times New Roman"/>
        </w:rPr>
      </w:pPr>
      <w:r w:rsidRPr="00DF3C13">
        <w:rPr>
          <w:rFonts w:ascii="Times New Roman" w:hAnsi="Times New Roman" w:cs="Times New Roman"/>
        </w:rPr>
        <w:t>Rashodi iz izvora 563 - Europski fond za regionalni razvoj (EFRR) su planirani u iznosu od 248.959 eura u 2026.godini te 120.150 eura u 2027.godini, u 2028.godini nisu planirani zbog završetka projekata.  Rashodi se odnose na već spomenute projekte financirane iz programa Interreg, te se odnose najvećim dijelom na rashode za zaposlene na projektima te manjim dijelom na materijalne rashode.</w:t>
      </w:r>
    </w:p>
    <w:p w14:paraId="559758E8" w14:textId="77777777" w:rsidR="00045E22" w:rsidRDefault="00045E22" w:rsidP="00045E22">
      <w:pPr>
        <w:spacing w:after="0" w:line="240" w:lineRule="auto"/>
        <w:jc w:val="both"/>
        <w:rPr>
          <w:rFonts w:ascii="Times New Roman" w:hAnsi="Times New Roman" w:cs="Times New Roman"/>
        </w:rPr>
      </w:pPr>
    </w:p>
    <w:p w14:paraId="61C6FE11" w14:textId="7D642D84" w:rsidR="00501E10" w:rsidRDefault="00501E10" w:rsidP="00021CF0">
      <w:pPr>
        <w:spacing w:line="240" w:lineRule="auto"/>
        <w:jc w:val="both"/>
        <w:rPr>
          <w:rFonts w:ascii="Times New Roman" w:hAnsi="Times New Roman" w:cs="Times New Roman"/>
        </w:rPr>
      </w:pPr>
      <w:r>
        <w:rPr>
          <w:rFonts w:ascii="Times New Roman" w:hAnsi="Times New Roman" w:cs="Times New Roman"/>
        </w:rPr>
        <w:t xml:space="preserve">Rashodi iz izvora </w:t>
      </w:r>
      <w:r w:rsidR="00045E22" w:rsidRPr="00DF3C13">
        <w:rPr>
          <w:rFonts w:ascii="Times New Roman" w:hAnsi="Times New Roman" w:cs="Times New Roman"/>
        </w:rPr>
        <w:t>581 – Mehanizam za oporavak i otpornost  (NPOO)</w:t>
      </w:r>
      <w:r w:rsidR="00045E22">
        <w:rPr>
          <w:rFonts w:ascii="Times New Roman" w:hAnsi="Times New Roman" w:cs="Times New Roman"/>
        </w:rPr>
        <w:t xml:space="preserve"> su planirani u iznosu od 331.286 EUR za 2026.godinu, te 271.853 EUR za 2027. i 2028.godinu. Rashodi se odnose na projekte financirane </w:t>
      </w:r>
      <w:r w:rsidR="00045E22" w:rsidRPr="00DF3C13">
        <w:rPr>
          <w:rFonts w:ascii="Times New Roman" w:hAnsi="Times New Roman" w:cs="Times New Roman"/>
        </w:rPr>
        <w:t>u okviru projekata financiranih kroz Nacionalni plan oporavka i otpornosti (NPOO).</w:t>
      </w:r>
    </w:p>
    <w:p w14:paraId="49B0C5C8" w14:textId="77777777" w:rsidR="00D00617" w:rsidRPr="00DF3C13" w:rsidRDefault="00D00617" w:rsidP="00021CF0">
      <w:pPr>
        <w:spacing w:line="240" w:lineRule="auto"/>
        <w:jc w:val="both"/>
        <w:rPr>
          <w:rFonts w:ascii="Times New Roman" w:hAnsi="Times New Roman" w:cs="Times New Roman"/>
        </w:rPr>
      </w:pPr>
    </w:p>
    <w:p w14:paraId="692C8E0E" w14:textId="77777777" w:rsidR="001B57D1" w:rsidRPr="003F0323" w:rsidRDefault="001B57D1" w:rsidP="00021CF0">
      <w:pPr>
        <w:spacing w:line="240" w:lineRule="auto"/>
        <w:jc w:val="both"/>
        <w:rPr>
          <w:rFonts w:ascii="Times New Roman" w:hAnsi="Times New Roman" w:cs="Times New Roman"/>
          <w:b/>
          <w:bCs/>
        </w:rPr>
      </w:pPr>
      <w:r w:rsidRPr="003F0323">
        <w:rPr>
          <w:rFonts w:ascii="Times New Roman" w:hAnsi="Times New Roman" w:cs="Times New Roman"/>
          <w:b/>
          <w:bCs/>
        </w:rPr>
        <w:t>4.</w:t>
      </w:r>
      <w:r w:rsidRPr="003F0323">
        <w:rPr>
          <w:rFonts w:ascii="Times New Roman" w:hAnsi="Times New Roman" w:cs="Times New Roman"/>
          <w:b/>
          <w:bCs/>
        </w:rPr>
        <w:tab/>
        <w:t>PRIJENOS SREDSTAVA IZ PRETHODNE I U SLJEDEĆU GODINU</w:t>
      </w:r>
    </w:p>
    <w:p w14:paraId="1549FC05" w14:textId="77777777" w:rsidR="001B57D1" w:rsidRPr="00DF3C13" w:rsidRDefault="001B57D1" w:rsidP="00021CF0">
      <w:pPr>
        <w:spacing w:line="240" w:lineRule="auto"/>
        <w:jc w:val="both"/>
        <w:rPr>
          <w:rFonts w:ascii="Times New Roman" w:hAnsi="Times New Roman" w:cs="Times New Roman"/>
        </w:rPr>
      </w:pPr>
    </w:p>
    <w:p w14:paraId="6A0CB712" w14:textId="46002F74" w:rsidR="001B57D1" w:rsidRDefault="001B57D1" w:rsidP="00045E22">
      <w:pPr>
        <w:spacing w:line="240" w:lineRule="auto"/>
        <w:jc w:val="both"/>
        <w:rPr>
          <w:rFonts w:ascii="Times New Roman" w:hAnsi="Times New Roman" w:cs="Times New Roman"/>
        </w:rPr>
      </w:pPr>
      <w:r w:rsidRPr="00DF3C13">
        <w:rPr>
          <w:rFonts w:ascii="Times New Roman" w:hAnsi="Times New Roman" w:cs="Times New Roman"/>
        </w:rPr>
        <w:t>Prijenos sredstava planiran je po izvorima, na izvoru 11 – Opći prihodi i primici, nema</w:t>
      </w:r>
      <w:r w:rsidR="00DA140C">
        <w:rPr>
          <w:rFonts w:ascii="Times New Roman" w:hAnsi="Times New Roman" w:cs="Times New Roman"/>
        </w:rPr>
        <w:t xml:space="preserve"> </w:t>
      </w:r>
      <w:r w:rsidRPr="00DF3C13">
        <w:rPr>
          <w:rFonts w:ascii="Times New Roman" w:hAnsi="Times New Roman" w:cs="Times New Roman"/>
        </w:rPr>
        <w:t xml:space="preserve">planiranih prijenosa. Na izvoru 31- Vlastiti prihodi procijenjen je donos u 2026. godinu u iznosu od 513.500 eura, na temelju podataka iz prethodnog razdoblja.  Donos prihoda iz izvora 43– Prihodi za posebne namjene u 2026.godinu planiran je u iznosu od 16.500 eura, a procijenjen je na temelju projekcija prihoda i rashoda do kraja 2025. godine. Na izvoru 50 – Pomoći iz državnog proračuna planiran je donos u 2026. godinu u iznosu od 16.300 eura, 10.824 eura u 2027. godinu, te 31.609 eura u 2028. godinu. Na izvoru 50 su planirani projekti financirani od strane Hrvatske zaklade za znanost, te su po njihovoj uputi i planirani. Na izvoru 51 – Programi unije planiran je donos u 2026. godinu u iznosu od 570.200 eura, 360.036 eura u 2027. godinu, te 183.047 eura u 2028. godinu. Donosi kao i prihodi ovise o dinamici uplata sredstava po projektima. Navedeni donos se odnosi na uplate po projektima financiranih iz programa EIT Raw Materials, gdje su uplate sredstava u ovoj godini a u slijedećoj godini je planirana potrošnja. Na izvoru 61 - Donacije planirani donos u 2026.godinu je u iznosu od 4.000 eur te je procijenjen je na temelju projekcija prihoda i rashoda do kraja 2025. godine. Izvor 563 - Europski fond za regionalni razvoj (EFRR) </w:t>
      </w:r>
      <w:r w:rsidR="009039BF">
        <w:rPr>
          <w:rFonts w:ascii="Times New Roman" w:hAnsi="Times New Roman" w:cs="Times New Roman"/>
        </w:rPr>
        <w:t xml:space="preserve">i </w:t>
      </w:r>
      <w:r w:rsidR="009039BF" w:rsidRPr="00DF3C13">
        <w:rPr>
          <w:rFonts w:ascii="Times New Roman" w:hAnsi="Times New Roman" w:cs="Times New Roman"/>
        </w:rPr>
        <w:t xml:space="preserve">izvor 581 – Mehanizam za oporavak i otpornost  (NPOO) </w:t>
      </w:r>
      <w:r w:rsidRPr="00DF3C13">
        <w:rPr>
          <w:rFonts w:ascii="Times New Roman" w:hAnsi="Times New Roman" w:cs="Times New Roman"/>
        </w:rPr>
        <w:t>nema</w:t>
      </w:r>
      <w:r w:rsidR="009039BF">
        <w:rPr>
          <w:rFonts w:ascii="Times New Roman" w:hAnsi="Times New Roman" w:cs="Times New Roman"/>
        </w:rPr>
        <w:t>ju</w:t>
      </w:r>
      <w:r w:rsidRPr="00DF3C13">
        <w:rPr>
          <w:rFonts w:ascii="Times New Roman" w:hAnsi="Times New Roman" w:cs="Times New Roman"/>
        </w:rPr>
        <w:t xml:space="preserve"> planirani donos  niti odnos zbog dinamike projekata. </w:t>
      </w:r>
    </w:p>
    <w:p w14:paraId="1D5752E2" w14:textId="77777777" w:rsidR="009039BF" w:rsidRDefault="009039BF" w:rsidP="00045E22">
      <w:pPr>
        <w:spacing w:line="240" w:lineRule="auto"/>
        <w:jc w:val="both"/>
        <w:rPr>
          <w:rFonts w:ascii="Times New Roman" w:hAnsi="Times New Roman" w:cs="Times New Roman"/>
        </w:rPr>
      </w:pPr>
    </w:p>
    <w:p w14:paraId="14006AB1" w14:textId="77777777" w:rsidR="009039BF" w:rsidRPr="00DF3C13" w:rsidRDefault="009039BF" w:rsidP="00045E22">
      <w:pPr>
        <w:spacing w:line="240" w:lineRule="auto"/>
        <w:jc w:val="both"/>
        <w:rPr>
          <w:rFonts w:ascii="Times New Roman" w:hAnsi="Times New Roman" w:cs="Times New Roman"/>
        </w:rPr>
      </w:pPr>
    </w:p>
    <w:p w14:paraId="04D81BB0" w14:textId="77777777" w:rsidR="001B57D1" w:rsidRPr="009A2056" w:rsidRDefault="001B57D1" w:rsidP="00021CF0">
      <w:pPr>
        <w:spacing w:line="240" w:lineRule="auto"/>
        <w:rPr>
          <w:rFonts w:ascii="Times New Roman" w:hAnsi="Times New Roman" w:cs="Times New Roman"/>
          <w:b/>
          <w:bCs/>
        </w:rPr>
      </w:pPr>
      <w:r w:rsidRPr="009A2056">
        <w:rPr>
          <w:rFonts w:ascii="Times New Roman" w:hAnsi="Times New Roman" w:cs="Times New Roman"/>
          <w:b/>
          <w:bCs/>
        </w:rPr>
        <w:t>5.</w:t>
      </w:r>
      <w:r w:rsidRPr="009A2056">
        <w:rPr>
          <w:rFonts w:ascii="Times New Roman" w:hAnsi="Times New Roman" w:cs="Times New Roman"/>
          <w:b/>
          <w:bCs/>
        </w:rPr>
        <w:tab/>
        <w:t xml:space="preserve"> ZAKLJUČAK:</w:t>
      </w:r>
    </w:p>
    <w:p w14:paraId="71AAE2DC" w14:textId="77777777" w:rsidR="001B57D1" w:rsidRPr="00DF3C13" w:rsidRDefault="001B57D1" w:rsidP="00021CF0">
      <w:pPr>
        <w:spacing w:line="240" w:lineRule="auto"/>
        <w:rPr>
          <w:rFonts w:ascii="Times New Roman" w:hAnsi="Times New Roman" w:cs="Times New Roman"/>
        </w:rPr>
      </w:pPr>
    </w:p>
    <w:p w14:paraId="43CE0D67" w14:textId="67337125" w:rsidR="001B57D1" w:rsidRPr="00DF3C13" w:rsidRDefault="001B57D1" w:rsidP="00021CF0">
      <w:pPr>
        <w:spacing w:line="240" w:lineRule="auto"/>
        <w:jc w:val="both"/>
        <w:rPr>
          <w:rFonts w:ascii="Times New Roman" w:hAnsi="Times New Roman" w:cs="Times New Roman"/>
        </w:rPr>
      </w:pPr>
      <w:r w:rsidRPr="00DF3C13">
        <w:rPr>
          <w:rFonts w:ascii="Times New Roman" w:hAnsi="Times New Roman" w:cs="Times New Roman"/>
        </w:rPr>
        <w:t>-</w:t>
      </w:r>
      <w:r w:rsidR="00DA140C">
        <w:rPr>
          <w:rFonts w:ascii="Times New Roman" w:hAnsi="Times New Roman" w:cs="Times New Roman"/>
        </w:rPr>
        <w:t xml:space="preserve"> </w:t>
      </w:r>
      <w:r w:rsidRPr="00DF3C13">
        <w:rPr>
          <w:rFonts w:ascii="Times New Roman" w:hAnsi="Times New Roman" w:cs="Times New Roman"/>
        </w:rPr>
        <w:t>Financijski plan za 2026. – 2028. izrađen je temeljem Uputa Ministarstva znanosti, obrazovanja i mladih za izradu Financijskog plana za razdoblje 2026. – 2028. te Uputa i Limita Sveučilišta u Zagrebu.</w:t>
      </w:r>
    </w:p>
    <w:p w14:paraId="52E50F72" w14:textId="4C881043" w:rsidR="001B57D1" w:rsidRPr="00DF3C13" w:rsidRDefault="001B57D1" w:rsidP="00021CF0">
      <w:pPr>
        <w:spacing w:line="240" w:lineRule="auto"/>
        <w:jc w:val="both"/>
        <w:rPr>
          <w:rFonts w:ascii="Times New Roman" w:hAnsi="Times New Roman" w:cs="Times New Roman"/>
        </w:rPr>
      </w:pPr>
      <w:r w:rsidRPr="00DF3C13">
        <w:rPr>
          <w:rFonts w:ascii="Times New Roman" w:hAnsi="Times New Roman" w:cs="Times New Roman"/>
        </w:rPr>
        <w:t>-</w:t>
      </w:r>
      <w:r w:rsidR="00DA140C">
        <w:rPr>
          <w:rFonts w:ascii="Times New Roman" w:hAnsi="Times New Roman" w:cs="Times New Roman"/>
        </w:rPr>
        <w:t xml:space="preserve">  </w:t>
      </w:r>
      <w:r w:rsidRPr="00DF3C13">
        <w:rPr>
          <w:rFonts w:ascii="Times New Roman" w:hAnsi="Times New Roman" w:cs="Times New Roman"/>
        </w:rPr>
        <w:t>Prihodi i rashodi na izvoru 11 (opći prihodi i primici) su u skladu s Prijedlogom programskih ugovora Sveučilišta u Zagrebu.</w:t>
      </w:r>
    </w:p>
    <w:p w14:paraId="388E58E3" w14:textId="759E1492" w:rsidR="001B57D1" w:rsidRPr="00DF3C13" w:rsidRDefault="001B57D1" w:rsidP="00021CF0">
      <w:pPr>
        <w:spacing w:line="240" w:lineRule="auto"/>
        <w:jc w:val="both"/>
        <w:rPr>
          <w:rFonts w:ascii="Times New Roman" w:hAnsi="Times New Roman" w:cs="Times New Roman"/>
        </w:rPr>
      </w:pPr>
      <w:r w:rsidRPr="00DF3C13">
        <w:rPr>
          <w:rFonts w:ascii="Times New Roman" w:hAnsi="Times New Roman" w:cs="Times New Roman"/>
        </w:rPr>
        <w:t>-</w:t>
      </w:r>
      <w:r w:rsidR="00DA140C">
        <w:rPr>
          <w:rFonts w:ascii="Times New Roman" w:hAnsi="Times New Roman" w:cs="Times New Roman"/>
        </w:rPr>
        <w:t xml:space="preserve">  </w:t>
      </w:r>
      <w:r w:rsidRPr="00DF3C13">
        <w:rPr>
          <w:rFonts w:ascii="Times New Roman" w:hAnsi="Times New Roman" w:cs="Times New Roman"/>
        </w:rPr>
        <w:t xml:space="preserve">Financijski plan za izvor 31 – vlastiti prihodi temeljen je na izvršenju programa do rujna 2025. godine, te raspoloživih informacija o sklopljenim ugovorima čija se realizacija očekuje tijekom slijedeće godine. </w:t>
      </w:r>
    </w:p>
    <w:p w14:paraId="47F4D973" w14:textId="52799F0A" w:rsidR="001B57D1" w:rsidRPr="00DF3C13" w:rsidRDefault="001B57D1" w:rsidP="00021CF0">
      <w:pPr>
        <w:spacing w:line="240" w:lineRule="auto"/>
        <w:jc w:val="both"/>
        <w:rPr>
          <w:rFonts w:ascii="Times New Roman" w:hAnsi="Times New Roman" w:cs="Times New Roman"/>
        </w:rPr>
      </w:pPr>
      <w:r w:rsidRPr="00DF3C13">
        <w:rPr>
          <w:rFonts w:ascii="Times New Roman" w:hAnsi="Times New Roman" w:cs="Times New Roman"/>
        </w:rPr>
        <w:t>-</w:t>
      </w:r>
      <w:r w:rsidR="00DA140C">
        <w:rPr>
          <w:rFonts w:ascii="Times New Roman" w:hAnsi="Times New Roman" w:cs="Times New Roman"/>
        </w:rPr>
        <w:t xml:space="preserve">  </w:t>
      </w:r>
      <w:r w:rsidRPr="00DF3C13">
        <w:rPr>
          <w:rFonts w:ascii="Times New Roman" w:hAnsi="Times New Roman" w:cs="Times New Roman"/>
        </w:rPr>
        <w:t xml:space="preserve">Ista metodologija je primijenjena na EU projekte čija se provedba očekuje u sljedeće 3 godine te prihode za posebne namjene i ostale pomoći. </w:t>
      </w:r>
    </w:p>
    <w:p w14:paraId="1746FA94" w14:textId="77777777" w:rsidR="001B57D1" w:rsidRPr="00DF3C13" w:rsidRDefault="001B57D1" w:rsidP="001B57D1">
      <w:pPr>
        <w:rPr>
          <w:rFonts w:ascii="Times New Roman" w:hAnsi="Times New Roman" w:cs="Times New Roman"/>
        </w:rPr>
      </w:pPr>
    </w:p>
    <w:p w14:paraId="1907C587" w14:textId="77777777" w:rsidR="001B57D1" w:rsidRPr="00DF3C13" w:rsidRDefault="001B57D1" w:rsidP="001B57D1">
      <w:pPr>
        <w:rPr>
          <w:rFonts w:ascii="Times New Roman" w:hAnsi="Times New Roman" w:cs="Times New Roman"/>
        </w:rPr>
      </w:pPr>
    </w:p>
    <w:p w14:paraId="5A3183A3" w14:textId="77777777" w:rsidR="001B57D1" w:rsidRPr="00DF3C13" w:rsidRDefault="001B57D1" w:rsidP="001B57D1">
      <w:pPr>
        <w:rPr>
          <w:rFonts w:ascii="Times New Roman" w:hAnsi="Times New Roman" w:cs="Times New Roman"/>
        </w:rPr>
      </w:pPr>
    </w:p>
    <w:p w14:paraId="3893FBE0" w14:textId="77777777" w:rsidR="001B57D1" w:rsidRPr="00DF3C13" w:rsidRDefault="001B57D1" w:rsidP="001B57D1">
      <w:pPr>
        <w:rPr>
          <w:rFonts w:ascii="Times New Roman" w:hAnsi="Times New Roman" w:cs="Times New Roman"/>
        </w:rPr>
      </w:pPr>
    </w:p>
    <w:p w14:paraId="20329D4A" w14:textId="77777777" w:rsidR="001B57D1" w:rsidRPr="00DF3C13" w:rsidRDefault="001B57D1" w:rsidP="001B57D1">
      <w:pPr>
        <w:rPr>
          <w:rFonts w:ascii="Times New Roman" w:hAnsi="Times New Roman" w:cs="Times New Roman"/>
        </w:rPr>
      </w:pPr>
    </w:p>
    <w:p w14:paraId="12340464" w14:textId="77777777" w:rsidR="000817DA" w:rsidRPr="000817DA" w:rsidRDefault="001B57D1" w:rsidP="000817DA">
      <w:pPr>
        <w:rPr>
          <w:rFonts w:ascii="Times New Roman" w:hAnsi="Times New Roman" w:cs="Times New Roman"/>
        </w:rPr>
      </w:pPr>
      <w:r w:rsidRPr="00DF3C13">
        <w:rPr>
          <w:rFonts w:ascii="Times New Roman" w:hAnsi="Times New Roman" w:cs="Times New Roman"/>
        </w:rPr>
        <w:tab/>
      </w:r>
      <w:r w:rsidRPr="00DF3C13">
        <w:rPr>
          <w:rFonts w:ascii="Times New Roman" w:hAnsi="Times New Roman" w:cs="Times New Roman"/>
        </w:rPr>
        <w:tab/>
      </w:r>
    </w:p>
    <w:tbl>
      <w:tblPr>
        <w:tblW w:w="0" w:type="auto"/>
        <w:jc w:val="center"/>
        <w:tblLook w:val="01E0" w:firstRow="1" w:lastRow="1" w:firstColumn="1" w:lastColumn="1" w:noHBand="0" w:noVBand="0"/>
      </w:tblPr>
      <w:tblGrid>
        <w:gridCol w:w="3393"/>
        <w:gridCol w:w="1002"/>
        <w:gridCol w:w="3366"/>
      </w:tblGrid>
      <w:tr w:rsidR="000817DA" w:rsidRPr="000817DA" w14:paraId="20574A2A" w14:textId="77777777" w:rsidTr="000817DA">
        <w:trPr>
          <w:jc w:val="center"/>
        </w:trPr>
        <w:tc>
          <w:tcPr>
            <w:tcW w:w="3393" w:type="dxa"/>
          </w:tcPr>
          <w:p w14:paraId="709933FC" w14:textId="77777777" w:rsidR="000817DA" w:rsidRPr="000817DA" w:rsidRDefault="000817DA" w:rsidP="000817DA">
            <w:pPr>
              <w:rPr>
                <w:rFonts w:ascii="Times New Roman" w:hAnsi="Times New Roman" w:cs="Times New Roman"/>
              </w:rPr>
            </w:pPr>
          </w:p>
        </w:tc>
        <w:tc>
          <w:tcPr>
            <w:tcW w:w="1002" w:type="dxa"/>
          </w:tcPr>
          <w:p w14:paraId="406C4B93" w14:textId="77777777" w:rsidR="000817DA" w:rsidRPr="000817DA" w:rsidRDefault="000817DA" w:rsidP="000817DA">
            <w:pPr>
              <w:rPr>
                <w:rFonts w:ascii="Times New Roman" w:hAnsi="Times New Roman" w:cs="Times New Roman"/>
              </w:rPr>
            </w:pPr>
          </w:p>
        </w:tc>
        <w:tc>
          <w:tcPr>
            <w:tcW w:w="3366" w:type="dxa"/>
          </w:tcPr>
          <w:p w14:paraId="159C1827" w14:textId="77777777" w:rsidR="000817DA" w:rsidRPr="000817DA" w:rsidRDefault="000817DA" w:rsidP="000817DA">
            <w:pPr>
              <w:jc w:val="center"/>
              <w:rPr>
                <w:rFonts w:ascii="Times New Roman" w:hAnsi="Times New Roman" w:cs="Times New Roman"/>
              </w:rPr>
            </w:pPr>
            <w:r w:rsidRPr="000817DA">
              <w:rPr>
                <w:rFonts w:ascii="Times New Roman" w:hAnsi="Times New Roman" w:cs="Times New Roman"/>
              </w:rPr>
              <w:t>Dekan:</w:t>
            </w:r>
          </w:p>
        </w:tc>
      </w:tr>
      <w:tr w:rsidR="000817DA" w:rsidRPr="000817DA" w14:paraId="23931C82" w14:textId="77777777" w:rsidTr="000817DA">
        <w:trPr>
          <w:jc w:val="center"/>
        </w:trPr>
        <w:tc>
          <w:tcPr>
            <w:tcW w:w="3393" w:type="dxa"/>
          </w:tcPr>
          <w:p w14:paraId="4FC4F75C" w14:textId="77777777" w:rsidR="000817DA" w:rsidRPr="000817DA" w:rsidRDefault="000817DA" w:rsidP="000817DA">
            <w:pPr>
              <w:rPr>
                <w:rFonts w:ascii="Times New Roman" w:hAnsi="Times New Roman" w:cs="Times New Roman"/>
              </w:rPr>
            </w:pPr>
          </w:p>
        </w:tc>
        <w:tc>
          <w:tcPr>
            <w:tcW w:w="1002" w:type="dxa"/>
          </w:tcPr>
          <w:p w14:paraId="525276E9" w14:textId="77777777" w:rsidR="000817DA" w:rsidRPr="000817DA" w:rsidRDefault="000817DA" w:rsidP="000817DA">
            <w:pPr>
              <w:rPr>
                <w:rFonts w:ascii="Times New Roman" w:hAnsi="Times New Roman" w:cs="Times New Roman"/>
              </w:rPr>
            </w:pPr>
          </w:p>
        </w:tc>
        <w:tc>
          <w:tcPr>
            <w:tcW w:w="3366" w:type="dxa"/>
          </w:tcPr>
          <w:p w14:paraId="40A8B777" w14:textId="77777777" w:rsidR="000817DA" w:rsidRPr="000817DA" w:rsidRDefault="000817DA" w:rsidP="000817DA">
            <w:pPr>
              <w:rPr>
                <w:rFonts w:ascii="Times New Roman" w:hAnsi="Times New Roman" w:cs="Times New Roman"/>
              </w:rPr>
            </w:pPr>
          </w:p>
        </w:tc>
      </w:tr>
      <w:tr w:rsidR="000817DA" w:rsidRPr="000817DA" w14:paraId="2CEE9F9B" w14:textId="77777777" w:rsidTr="000817DA">
        <w:trPr>
          <w:jc w:val="center"/>
        </w:trPr>
        <w:tc>
          <w:tcPr>
            <w:tcW w:w="3393" w:type="dxa"/>
          </w:tcPr>
          <w:p w14:paraId="5DB97D9E" w14:textId="77777777" w:rsidR="000817DA" w:rsidRPr="000817DA" w:rsidRDefault="000817DA" w:rsidP="000817DA">
            <w:pPr>
              <w:rPr>
                <w:rFonts w:ascii="Times New Roman" w:hAnsi="Times New Roman" w:cs="Times New Roman"/>
              </w:rPr>
            </w:pPr>
          </w:p>
        </w:tc>
        <w:tc>
          <w:tcPr>
            <w:tcW w:w="1002" w:type="dxa"/>
          </w:tcPr>
          <w:p w14:paraId="301500CC" w14:textId="77777777" w:rsidR="000817DA" w:rsidRPr="000817DA" w:rsidRDefault="000817DA" w:rsidP="000817DA">
            <w:pPr>
              <w:rPr>
                <w:rFonts w:ascii="Times New Roman" w:hAnsi="Times New Roman" w:cs="Times New Roman"/>
              </w:rPr>
            </w:pPr>
          </w:p>
        </w:tc>
        <w:tc>
          <w:tcPr>
            <w:tcW w:w="3366" w:type="dxa"/>
            <w:tcBorders>
              <w:bottom w:val="single" w:sz="4" w:space="0" w:color="auto"/>
            </w:tcBorders>
          </w:tcPr>
          <w:p w14:paraId="30CC6941" w14:textId="77777777" w:rsidR="000817DA" w:rsidRPr="000817DA" w:rsidRDefault="000817DA" w:rsidP="000817DA">
            <w:pPr>
              <w:rPr>
                <w:rFonts w:ascii="Times New Roman" w:hAnsi="Times New Roman" w:cs="Times New Roman"/>
              </w:rPr>
            </w:pPr>
          </w:p>
        </w:tc>
      </w:tr>
      <w:tr w:rsidR="000817DA" w:rsidRPr="000817DA" w14:paraId="0DAAF057" w14:textId="77777777" w:rsidTr="000817DA">
        <w:trPr>
          <w:jc w:val="center"/>
        </w:trPr>
        <w:tc>
          <w:tcPr>
            <w:tcW w:w="3393" w:type="dxa"/>
          </w:tcPr>
          <w:p w14:paraId="596DD19A" w14:textId="77777777" w:rsidR="000817DA" w:rsidRPr="000817DA" w:rsidRDefault="000817DA" w:rsidP="000817DA">
            <w:pPr>
              <w:rPr>
                <w:rFonts w:ascii="Times New Roman" w:hAnsi="Times New Roman" w:cs="Times New Roman"/>
              </w:rPr>
            </w:pPr>
          </w:p>
        </w:tc>
        <w:tc>
          <w:tcPr>
            <w:tcW w:w="1002" w:type="dxa"/>
          </w:tcPr>
          <w:p w14:paraId="650EE80B" w14:textId="77777777" w:rsidR="000817DA" w:rsidRPr="000817DA" w:rsidRDefault="000817DA" w:rsidP="000817DA">
            <w:pPr>
              <w:rPr>
                <w:rFonts w:ascii="Times New Roman" w:hAnsi="Times New Roman" w:cs="Times New Roman"/>
              </w:rPr>
            </w:pPr>
          </w:p>
        </w:tc>
        <w:tc>
          <w:tcPr>
            <w:tcW w:w="3366" w:type="dxa"/>
            <w:tcBorders>
              <w:top w:val="single" w:sz="4" w:space="0" w:color="auto"/>
            </w:tcBorders>
          </w:tcPr>
          <w:p w14:paraId="07E8EBCE" w14:textId="77777777" w:rsidR="000817DA" w:rsidRPr="000817DA" w:rsidRDefault="000817DA" w:rsidP="000817DA">
            <w:pPr>
              <w:rPr>
                <w:rFonts w:ascii="Times New Roman" w:hAnsi="Times New Roman" w:cs="Times New Roman"/>
              </w:rPr>
            </w:pPr>
            <w:r w:rsidRPr="000817DA">
              <w:rPr>
                <w:rFonts w:ascii="Times New Roman" w:hAnsi="Times New Roman" w:cs="Times New Roman"/>
              </w:rPr>
              <w:t>Izv. prof. dr. sc. Vladislav Brkić</w:t>
            </w:r>
          </w:p>
        </w:tc>
      </w:tr>
    </w:tbl>
    <w:p w14:paraId="71D2FD6A" w14:textId="77777777" w:rsidR="000817DA" w:rsidRPr="000817DA" w:rsidRDefault="000817DA" w:rsidP="000817DA">
      <w:pPr>
        <w:rPr>
          <w:rFonts w:ascii="Times New Roman" w:hAnsi="Times New Roman" w:cs="Times New Roman"/>
        </w:rPr>
      </w:pPr>
    </w:p>
    <w:p w14:paraId="5FD2D4BA" w14:textId="4650B41C" w:rsidR="001B57D1" w:rsidRPr="00DF3C13" w:rsidRDefault="001B57D1" w:rsidP="000817DA">
      <w:pPr>
        <w:rPr>
          <w:rFonts w:ascii="Times New Roman" w:hAnsi="Times New Roman" w:cs="Times New Roman"/>
        </w:rPr>
      </w:pPr>
    </w:p>
    <w:p w14:paraId="5FA6BD0E" w14:textId="77777777" w:rsidR="00FC30B8" w:rsidRPr="00DF3C13" w:rsidRDefault="00FC30B8">
      <w:pPr>
        <w:rPr>
          <w:rFonts w:ascii="Times New Roman" w:hAnsi="Times New Roman" w:cs="Times New Roman"/>
        </w:rPr>
      </w:pPr>
    </w:p>
    <w:sectPr w:rsidR="00FC30B8" w:rsidRPr="00DF3C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65D92"/>
    <w:multiLevelType w:val="hybridMultilevel"/>
    <w:tmpl w:val="BC6E66A4"/>
    <w:lvl w:ilvl="0" w:tplc="041A0001">
      <w:start w:val="1"/>
      <w:numFmt w:val="bullet"/>
      <w:lvlText w:val=""/>
      <w:lvlJc w:val="left"/>
      <w:pPr>
        <w:ind w:left="720" w:hanging="360"/>
      </w:pPr>
      <w:rPr>
        <w:rFonts w:ascii="Symbol" w:hAnsi="Symbol" w:hint="default"/>
      </w:rPr>
    </w:lvl>
    <w:lvl w:ilvl="1" w:tplc="346ED780">
      <w:numFmt w:val="bullet"/>
      <w:lvlText w:val="-"/>
      <w:lvlJc w:val="left"/>
      <w:pPr>
        <w:ind w:left="1785" w:hanging="705"/>
      </w:pPr>
      <w:rPr>
        <w:rFonts w:ascii="Times New Roman" w:eastAsiaTheme="minorHAnsi"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C5563C0"/>
    <w:multiLevelType w:val="hybridMultilevel"/>
    <w:tmpl w:val="FE9AE69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73984FDD"/>
    <w:multiLevelType w:val="hybridMultilevel"/>
    <w:tmpl w:val="1C149BF0"/>
    <w:lvl w:ilvl="0" w:tplc="C51C4F50">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599070834">
    <w:abstractNumId w:val="0"/>
  </w:num>
  <w:num w:numId="2" w16cid:durableId="804808332">
    <w:abstractNumId w:val="1"/>
  </w:num>
  <w:num w:numId="3" w16cid:durableId="2749424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0BA"/>
    <w:rsid w:val="00021CF0"/>
    <w:rsid w:val="00045E22"/>
    <w:rsid w:val="00047057"/>
    <w:rsid w:val="0007325C"/>
    <w:rsid w:val="000817DA"/>
    <w:rsid w:val="00124692"/>
    <w:rsid w:val="00153EEE"/>
    <w:rsid w:val="001673EB"/>
    <w:rsid w:val="001B57D1"/>
    <w:rsid w:val="001E2918"/>
    <w:rsid w:val="0029423D"/>
    <w:rsid w:val="00310412"/>
    <w:rsid w:val="003265F2"/>
    <w:rsid w:val="003F0323"/>
    <w:rsid w:val="004866BA"/>
    <w:rsid w:val="00501E10"/>
    <w:rsid w:val="006410B4"/>
    <w:rsid w:val="00780532"/>
    <w:rsid w:val="00792B44"/>
    <w:rsid w:val="00804851"/>
    <w:rsid w:val="009039BF"/>
    <w:rsid w:val="009334C8"/>
    <w:rsid w:val="009A2056"/>
    <w:rsid w:val="009D7DD2"/>
    <w:rsid w:val="00AE29F1"/>
    <w:rsid w:val="00AF60BA"/>
    <w:rsid w:val="00B17751"/>
    <w:rsid w:val="00B67EE1"/>
    <w:rsid w:val="00BE1234"/>
    <w:rsid w:val="00D00617"/>
    <w:rsid w:val="00D45B5B"/>
    <w:rsid w:val="00DA140C"/>
    <w:rsid w:val="00DF3C13"/>
    <w:rsid w:val="00E423FD"/>
    <w:rsid w:val="00E8298B"/>
    <w:rsid w:val="00F14D8D"/>
    <w:rsid w:val="00F51ABD"/>
    <w:rsid w:val="00FC30B8"/>
    <w:rsid w:val="00FF56A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00164"/>
  <w15:chartTrackingRefBased/>
  <w15:docId w15:val="{F76F96E5-233B-4532-AF5F-C40300C62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AF60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AF60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AF60BA"/>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AF60BA"/>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AF60BA"/>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AF60BA"/>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AF60BA"/>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AF60BA"/>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AF60BA"/>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F60BA"/>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AF60BA"/>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AF60BA"/>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AF60BA"/>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AF60BA"/>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AF60BA"/>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AF60BA"/>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AF60BA"/>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AF60BA"/>
    <w:rPr>
      <w:rFonts w:eastAsiaTheme="majorEastAsia" w:cstheme="majorBidi"/>
      <w:color w:val="272727" w:themeColor="text1" w:themeTint="D8"/>
    </w:rPr>
  </w:style>
  <w:style w:type="paragraph" w:styleId="Naslov">
    <w:name w:val="Title"/>
    <w:basedOn w:val="Normal"/>
    <w:next w:val="Normal"/>
    <w:link w:val="NaslovChar"/>
    <w:uiPriority w:val="10"/>
    <w:qFormat/>
    <w:rsid w:val="00AF60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AF60BA"/>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AF60BA"/>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AF60B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F60BA"/>
    <w:pPr>
      <w:spacing w:before="160"/>
      <w:jc w:val="center"/>
    </w:pPr>
    <w:rPr>
      <w:i/>
      <w:iCs/>
      <w:color w:val="404040" w:themeColor="text1" w:themeTint="BF"/>
    </w:rPr>
  </w:style>
  <w:style w:type="character" w:customStyle="1" w:styleId="CitatChar">
    <w:name w:val="Citat Char"/>
    <w:basedOn w:val="Zadanifontodlomka"/>
    <w:link w:val="Citat"/>
    <w:uiPriority w:val="29"/>
    <w:rsid w:val="00AF60BA"/>
    <w:rPr>
      <w:i/>
      <w:iCs/>
      <w:color w:val="404040" w:themeColor="text1" w:themeTint="BF"/>
    </w:rPr>
  </w:style>
  <w:style w:type="paragraph" w:styleId="Odlomakpopisa">
    <w:name w:val="List Paragraph"/>
    <w:basedOn w:val="Normal"/>
    <w:uiPriority w:val="34"/>
    <w:qFormat/>
    <w:rsid w:val="00AF60BA"/>
    <w:pPr>
      <w:ind w:left="720"/>
      <w:contextualSpacing/>
    </w:pPr>
  </w:style>
  <w:style w:type="character" w:styleId="Jakoisticanje">
    <w:name w:val="Intense Emphasis"/>
    <w:basedOn w:val="Zadanifontodlomka"/>
    <w:uiPriority w:val="21"/>
    <w:qFormat/>
    <w:rsid w:val="00AF60BA"/>
    <w:rPr>
      <w:i/>
      <w:iCs/>
      <w:color w:val="0F4761" w:themeColor="accent1" w:themeShade="BF"/>
    </w:rPr>
  </w:style>
  <w:style w:type="paragraph" w:styleId="Naglaencitat">
    <w:name w:val="Intense Quote"/>
    <w:basedOn w:val="Normal"/>
    <w:next w:val="Normal"/>
    <w:link w:val="NaglaencitatChar"/>
    <w:uiPriority w:val="30"/>
    <w:qFormat/>
    <w:rsid w:val="00AF60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AF60BA"/>
    <w:rPr>
      <w:i/>
      <w:iCs/>
      <w:color w:val="0F4761" w:themeColor="accent1" w:themeShade="BF"/>
    </w:rPr>
  </w:style>
  <w:style w:type="character" w:styleId="Istaknutareferenca">
    <w:name w:val="Intense Reference"/>
    <w:basedOn w:val="Zadanifontodlomka"/>
    <w:uiPriority w:val="32"/>
    <w:qFormat/>
    <w:rsid w:val="00AF60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48</TotalTime>
  <Pages>6</Pages>
  <Words>1959</Words>
  <Characters>11171</Characters>
  <Application>Microsoft Office Word</Application>
  <DocSecurity>0</DocSecurity>
  <Lines>93</Lines>
  <Paragraphs>26</Paragraphs>
  <ScaleCrop>false</ScaleCrop>
  <Company/>
  <LinksUpToDate>false</LinksUpToDate>
  <CharactersWithSpaces>13104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Josipa Čmajne</dc:creator>
  <cp:keywords/>
  <dc:description/>
  <cp:lastModifiedBy>Josipa Čmajne</cp:lastModifiedBy>
  <cp:revision>25</cp:revision>
  <cp:lastPrinted>2025-12-17T11:05:00Z</cp:lastPrinted>
  <dcterms:created xsi:type="dcterms:W3CDTF">2025-10-22T12:32:00Z</dcterms:created>
  <dcterms:modified xsi:type="dcterms:W3CDTF">2025-12-17T11:12:00Z</dcterms:modified>
</cp:coreProperties>
</file>